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42746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19 лютого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</w:t>
      </w:r>
      <w:r w:rsidR="00CE721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42746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094B9A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BE46F8" w:rsidRPr="00BE46F8" w:rsidRDefault="004A5BE9" w:rsidP="00094B9A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206C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</w:t>
      </w:r>
      <w:r w:rsidR="00BE46F8" w:rsidRPr="00E206C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оловуючого – </w:t>
      </w:r>
      <w:proofErr w:type="spellStart"/>
      <w:r w:rsidR="00BE46F8" w:rsidRPr="00BE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="00BE46F8" w:rsidRPr="00E206C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BE46F8" w:rsidRPr="00BE46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С.Ю.,</w:t>
      </w:r>
    </w:p>
    <w:p w:rsidR="00094B9A" w:rsidRDefault="00094B9A" w:rsidP="00094B9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427464" w:rsidRDefault="00427464" w:rsidP="00094B9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</w:t>
      </w:r>
      <w:r w:rsidR="002000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Козлова А.Г., Лукаша Т.В.,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r w:rsidR="002000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Устименко В.Є.,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С.О.,</w:t>
      </w:r>
    </w:p>
    <w:p w:rsidR="00094B9A" w:rsidRDefault="00094B9A" w:rsidP="00094B9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427464" w:rsidRDefault="00427464" w:rsidP="00094B9A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про визначення результатів кваліфікаційного оцінювання кандидатів на посади суддів Вищого антикорупційного суду та Апеляційної палати Вищого антикорупційного суду, касаційних судів у складі Верховного Суду</w:t>
      </w:r>
      <w:r w:rsidR="002000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колегіями Комісії, які проводили другий етап кваліфікаційного оцінювання «Дослідження досьє та проведення співбесіди»,</w:t>
      </w:r>
      <w:r w:rsidR="002000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межах конкурсів, оголошених </w:t>
      </w:r>
      <w:r w:rsidR="0020008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02 серпня 2018 року,</w:t>
      </w:r>
    </w:p>
    <w:p w:rsidR="00094B9A" w:rsidRDefault="00094B9A" w:rsidP="00094B9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427464" w:rsidRDefault="00427464" w:rsidP="00094B9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094B9A" w:rsidRDefault="00094B9A" w:rsidP="00094B9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6136F5" w:rsidRDefault="00427464" w:rsidP="006136F5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Рішеннями Комісії від 02 серпня 2018 року № 185/зп-18 та № 186/зп-18 </w:t>
      </w:r>
      <w:r w:rsidR="006136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оголошено конкурси на зайняття 78 вакантних посад суддів касаційних</w:t>
      </w:r>
      <w:r w:rsidR="006136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судів у складі Верховного Суду, 27 вакантних посад суддів Вищого антикорупційного суду та 12 вакантних посад суддів Апеляційної палати Вищого антикорупційного</w:t>
      </w:r>
      <w:r w:rsidR="006136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суду.</w:t>
      </w:r>
    </w:p>
    <w:p w:rsidR="00427464" w:rsidRPr="00427464" w:rsidRDefault="00427464" w:rsidP="00094B9A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Рішеннями Комісії від 18 жовтня 2018 року № 230/зп-18 та № 231/зп-18 </w:t>
      </w:r>
      <w:r w:rsidR="00772A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залучено до роботи кваліфікаційної палати Комісії членів палати з питань добору і публічної служби суддів Комісії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Весельську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</w:t>
      </w:r>
      <w:r w:rsidR="00772A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Гладія С.В.,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Заріцьку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 Лукаша Т.В.,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 в межах процедури кваліфікаційного оцінювання кандидатів на зайняття вакантних посад</w:t>
      </w:r>
      <w:r w:rsidR="00772A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суддів Вищого антикорупційного суду, Апеляційної палати Вищого</w:t>
      </w:r>
      <w:r w:rsidR="00772A2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антикорупційного суду, касаційних судів у складі Верховного Суду.</w:t>
      </w:r>
    </w:p>
    <w:p w:rsidR="00145A30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Тими ж рішеннями Комісії призначено кваліфікаційне оцінювання кандидатів, допущених до участі у конкурсах, оголошених 02 серпня 2018 року, зокрема, на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зайняття 27 вакантних посад суддів Вищого антикорупційного суду, 12 вакантних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 суддів Апеляційної палати Вищого антикорупційного суду, 26 вакантних посад суддів Касаційного адміністративного суду у складі Верховного Суду, 16 вакантних посад суддів Касаційного господарського суду у складі Верховного Суду,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13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вакантних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Касаційного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кримінального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складі </w:t>
      </w:r>
      <w:r w:rsidR="00145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Верховного </w:t>
      </w:r>
    </w:p>
    <w:p w:rsidR="00145A30" w:rsidRDefault="00145A30" w:rsidP="00145A3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45A30" w:rsidRDefault="00145A30" w:rsidP="00145A3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45A30" w:rsidRDefault="00145A30" w:rsidP="00145A3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45A30" w:rsidRDefault="00145A30" w:rsidP="00145A3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BE5E77" w:rsidRDefault="00427464" w:rsidP="00145A3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Суду, 23 вакантних посад суддів Касаційного цивільного суду у складі Верховного</w:t>
      </w:r>
      <w:r w:rsidR="00BE5E7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BE5E77" w:rsidRPr="00BE5E77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Суду.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12 грудня 2018 року № 314/зп-18 для забезпечення проведення другого етапу кваліфікаційного оцінювання «Дослідження досьє та проведення співбесіди» в межах конкурсу на зайняття вакантних посад суддів </w:t>
      </w:r>
      <w:r w:rsidR="00B50E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Вищого антикорупційного суду, касаційних судів у складі Верховного Суду, </w:t>
      </w:r>
      <w:r w:rsidR="00B50E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оголошених 02 серпня 2018 року, визначено склади колегій Комісії.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Рішеннями Комісії від 03 січня 2019 року № З/зп-19, від 22 січня 2019 року </w:t>
      </w:r>
      <w:r w:rsidR="00B50E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12/зп-19, від 29 січня 2019 року № 19/зп-19 та № 20/зп-19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внесено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зміни до складу колегій Комісії для забезпечення проведення другого етапу кваліфікаційного</w:t>
      </w:r>
      <w:r w:rsidR="00B50E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 «Дослідження досьє та проведення співбесіди» окремих кандидатів на зайняття вакантних посад суддів Вищого антикорупційного суду та касаційних судів </w:t>
      </w:r>
      <w:r w:rsidR="00B50E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складі Верховного Суду в межах конкурсів, оголошених Комісією 02 серпня </w:t>
      </w:r>
      <w:r w:rsidR="00B50E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2018 року.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пункту 4 частини п’ятої статті 81 Закону України «Про</w:t>
      </w:r>
      <w:r w:rsidR="004010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судоустрій і статус суддів» Вища кваліфікаційна комісія суддів України за</w:t>
      </w:r>
      <w:r w:rsidR="004010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результатами кваліфікаційного оцінювання кандидата на посаду судді апеляційного суду, вищого спеціалізованого суду або Верховного Суду ухвалює рішення про підтвердження або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непідтвердження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здатності такого кандидата здійснювати </w:t>
      </w:r>
      <w:r w:rsidR="004010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 у відповідному суді та визначає його рейтинг для участі у конкурсі.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3 розділу І Положення про порядок та методологію кваліфікаційного оцінювання та засоби їх встановлення, затвердженого рішенням </w:t>
      </w:r>
      <w:r w:rsidR="004010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від 03 листопада 2016 року № 143/зп-16 (далі - Положення) кваліфікаційне оцінювання проводиться у складі, визначеному рішенням Комісії.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32 розділу III Положення передбачено, що у випадку визначення здатності судді (кандидата на посаду судді) здійснювати правосуддя у відповідному </w:t>
      </w:r>
      <w:r w:rsidR="009741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суді за результатами кваліфікаційного оцінювання Комісія ухвалює одне з таких </w:t>
      </w:r>
      <w:r w:rsidR="009741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рішень:</w:t>
      </w:r>
    </w:p>
    <w:p w:rsidR="00427464" w:rsidRPr="00427464" w:rsidRDefault="00427464" w:rsidP="0097418D">
      <w:pPr>
        <w:widowControl w:val="0"/>
        <w:spacing w:after="0" w:line="298" w:lineRule="exact"/>
        <w:ind w:left="20" w:right="20" w:firstLine="11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 про підтвердження здатності су</w:t>
      </w:r>
      <w:r w:rsidR="009741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дді (кандидата на посаду судді)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здійснювати правосуддя у відповідному суді;</w:t>
      </w:r>
    </w:p>
    <w:p w:rsidR="00427464" w:rsidRPr="00427464" w:rsidRDefault="00427464" w:rsidP="0097418D">
      <w:pPr>
        <w:widowControl w:val="0"/>
        <w:spacing w:after="0" w:line="298" w:lineRule="exact"/>
        <w:ind w:left="20" w:right="20" w:firstLine="11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 про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непідтвердження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здатності судді (кандидата на посаду судді) здійснювати правосуддя у відповідному суді.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4 глави 6 розділу II Положення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мінімально допустимих і </w:t>
      </w:r>
      <w:r w:rsidR="00D1306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більших балів за результатами іспиту та оцінювання критеріїв особистої і соціальної компетентності, а також </w:t>
      </w:r>
      <w:proofErr w:type="spellStart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більшого за 0, за результатами оцінювання професійної етики чи критерію доброчесності.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пункту 41 розділу III Положення результати кваліфікаційного оцінювання судді (кандидата на посаду судді), який підтвердив здатність здійснювати правосуддя у відповідному суді, використовуються для формування рейтингу </w:t>
      </w:r>
      <w:r w:rsidR="0042748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учасників конкурсу на заміщення вакантної посади судді.</w:t>
      </w: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6.10 розділу 6 Положення про проведення конкурсу на </w:t>
      </w:r>
      <w:r w:rsidR="00C917A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зайняття вакантної посади судді, затвердженого рішенням Комісії від 02 листопада </w:t>
      </w:r>
      <w:r w:rsidR="00C917A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141/зп-16 (зі змінами та доповненнями), рейтинг затверджується</w:t>
      </w:r>
      <w:r w:rsidR="00C917A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рішенням Комісії та оприлюднюється на офіційному веб-сайті Комісії не пізніше</w:t>
      </w:r>
      <w:r w:rsidR="00C917A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одного робочого дня після затвердження.</w:t>
      </w:r>
    </w:p>
    <w:p w:rsidR="00126E84" w:rsidRDefault="00126E8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26E84" w:rsidRDefault="00126E8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427464" w:rsidRDefault="00427464" w:rsidP="0042746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Комісія, обговоривши питання порядку денного, дійшла висновку про необхідність визначення результатів кваліфікаційного оцінювання кандидатів на </w:t>
      </w:r>
      <w:r w:rsidR="004408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посади суддів Вищого антикорупційного суду, Апеляційної палати Вищого антикорупційного суду та касаційних судів у складі Верховного Суду у межах </w:t>
      </w:r>
      <w:r w:rsidR="004408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конкурсів, оголошених 02 серпня 2018 року, колегіями Комісії, які проводили другий етап кваліфікаційного оцінювання «Дослідження досьє та проведення співбесіди», а також внесення вказаних результатів на розгляд кваліфікаційної палати Комісії із залученням членів палати з питань добору і публічної служби суддів Комісії для затвердження рейтингу.</w:t>
      </w:r>
    </w:p>
    <w:p w:rsidR="00427464" w:rsidRPr="00427464" w:rsidRDefault="00427464" w:rsidP="00427464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статтею 8 Закону України «Про Вищий антикорупційний суд», статтями 81, 83-86, 88, 101 Закону України «Про судоустрій і статус суддів», Положенням, Комісія</w:t>
      </w:r>
    </w:p>
    <w:p w:rsidR="00427464" w:rsidRPr="00427464" w:rsidRDefault="00427464" w:rsidP="005C24A4">
      <w:pPr>
        <w:widowControl w:val="0"/>
        <w:spacing w:after="0" w:line="250" w:lineRule="exact"/>
        <w:ind w:firstLine="709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5C24A4" w:rsidRDefault="005C24A4" w:rsidP="005C24A4">
      <w:pPr>
        <w:widowControl w:val="0"/>
        <w:tabs>
          <w:tab w:val="left" w:pos="1153"/>
        </w:tabs>
        <w:spacing w:after="0" w:line="298" w:lineRule="exact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27464" w:rsidRPr="00427464" w:rsidRDefault="005C24A4" w:rsidP="005C24A4">
      <w:pPr>
        <w:widowControl w:val="0"/>
        <w:tabs>
          <w:tab w:val="left" w:pos="1153"/>
        </w:tabs>
        <w:spacing w:after="0" w:line="298" w:lineRule="exact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1.  </w:t>
      </w:r>
      <w:r w:rsidR="00427464"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Доручити колегіям Комісії, які проводили другий етап кваліфікаційного оцінювання «Дослідження досьє та проведення співбесіди», у межах конкурсів, оголошених Комісією 02 серпня 2018 року, визначити результати кваліфікаційного оцінювання кандидатів на посади суддів Апеляційної палати Вищого</w:t>
      </w:r>
      <w:r w:rsidR="00B53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="00427464" w:rsidRPr="004274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антикорупційного суду, Вищого антикорупційного суду та касаційних судів у складі Верховного Суду.</w:t>
      </w:r>
    </w:p>
    <w:p w:rsidR="00BE46F8" w:rsidRPr="00B5347A" w:rsidRDefault="00B5347A" w:rsidP="00B5347A">
      <w:pPr>
        <w:widowControl w:val="0"/>
        <w:spacing w:after="0" w:line="298" w:lineRule="exact"/>
        <w:ind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53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2. </w:t>
      </w:r>
      <w:r w:rsidR="00427464" w:rsidRPr="00B53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Результати кваліфікаційного оцінювання </w:t>
      </w:r>
      <w:proofErr w:type="spellStart"/>
      <w:r w:rsidR="00427464" w:rsidRPr="00B53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внести</w:t>
      </w:r>
      <w:proofErr w:type="spellEnd"/>
      <w:r w:rsidR="00427464" w:rsidRPr="00B53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на розгляд кваліфікаційної палати Комісії із залученням членів палати з питань добору і публічної служби суддів Комісії відповідно до рішення Комісії від 18 жовтня 2018 року № 230/зп-18 та №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</w:t>
      </w:r>
      <w:r w:rsidR="00427464" w:rsidRPr="00B53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231/зп-18 з метою затвердження рейтингу</w:t>
      </w:r>
      <w:r w:rsidR="00BE46F8" w:rsidRPr="00B53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2D3ABB">
        <w:rPr>
          <w:rFonts w:ascii="Times New Roman" w:eastAsia="Times New Roman" w:hAnsi="Times New Roman"/>
          <w:sz w:val="24"/>
          <w:szCs w:val="24"/>
          <w:lang w:eastAsia="uk-UA"/>
        </w:rPr>
        <w:t xml:space="preserve">С.Ю. </w:t>
      </w:r>
      <w:proofErr w:type="spellStart"/>
      <w:r w:rsidR="002D3ABB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BB5D40" w:rsidRPr="00260A65" w:rsidRDefault="00BB5D40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2D49E3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А.В. Василенко</w:t>
      </w:r>
    </w:p>
    <w:p w:rsidR="002D49E3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7127" w:rsidRDefault="00B37127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2D49E3" w:rsidRPr="00B37127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u w:val="double"/>
          <w:lang w:eastAsia="uk-UA"/>
        </w:rPr>
      </w:pPr>
    </w:p>
    <w:p w:rsidR="00B21C2E" w:rsidRDefault="00B37127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2D49E3" w:rsidRPr="00260A65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2D49E3" w:rsidRPr="00260A65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29C0" w:rsidRDefault="006F76D3" w:rsidP="002D49E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</w:t>
      </w:r>
      <w:r w:rsidR="00B3712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А.Г. Козлов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</w:p>
    <w:p w:rsidR="002D49E3" w:rsidRDefault="002D49E3" w:rsidP="002D49E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2829C0" w:rsidP="002D49E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  <w:r w:rsidR="006F76D3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2D49E3" w:rsidRDefault="002D49E3" w:rsidP="002D49E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2D49E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2D49E3" w:rsidRPr="00260A65" w:rsidRDefault="002D49E3" w:rsidP="002D49E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2D49E3" w:rsidRPr="00260A65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2D49E3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D49E3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2D49E3" w:rsidRDefault="002D49E3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BB5D40" w:rsidRDefault="00BB5D40" w:rsidP="002D49E3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E94B0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="00E94B0D">
        <w:rPr>
          <w:rFonts w:ascii="Times New Roman" w:eastAsia="Times New Roman" w:hAnsi="Times New Roman"/>
          <w:sz w:val="24"/>
          <w:szCs w:val="24"/>
          <w:lang w:eastAsia="uk-UA"/>
        </w:rPr>
        <w:t>Щ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отка</w:t>
      </w:r>
      <w:proofErr w:type="spellEnd"/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</w:p>
    <w:sectPr w:rsidR="006F76D3" w:rsidRP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2E" w:rsidRDefault="00FC7A2E" w:rsidP="002F156E">
      <w:pPr>
        <w:spacing w:after="0" w:line="240" w:lineRule="auto"/>
      </w:pPr>
      <w:r>
        <w:separator/>
      </w:r>
    </w:p>
  </w:endnote>
  <w:endnote w:type="continuationSeparator" w:id="0">
    <w:p w:rsidR="00FC7A2E" w:rsidRDefault="00FC7A2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2E" w:rsidRDefault="00FC7A2E" w:rsidP="002F156E">
      <w:pPr>
        <w:spacing w:after="0" w:line="240" w:lineRule="auto"/>
      </w:pPr>
      <w:r>
        <w:separator/>
      </w:r>
    </w:p>
  </w:footnote>
  <w:footnote w:type="continuationSeparator" w:id="0">
    <w:p w:rsidR="00FC7A2E" w:rsidRDefault="00FC7A2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215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97D62"/>
    <w:multiLevelType w:val="multilevel"/>
    <w:tmpl w:val="C310D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4B9A"/>
    <w:rsid w:val="000A06A9"/>
    <w:rsid w:val="000B0876"/>
    <w:rsid w:val="000E62AF"/>
    <w:rsid w:val="000F4C37"/>
    <w:rsid w:val="00106B7B"/>
    <w:rsid w:val="00106FDD"/>
    <w:rsid w:val="00107295"/>
    <w:rsid w:val="001223BD"/>
    <w:rsid w:val="00126C97"/>
    <w:rsid w:val="00126E84"/>
    <w:rsid w:val="00132725"/>
    <w:rsid w:val="00145A30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0086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9712E"/>
    <w:rsid w:val="002C1E4E"/>
    <w:rsid w:val="002C78D8"/>
    <w:rsid w:val="002D3ABB"/>
    <w:rsid w:val="002D49E3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10CB"/>
    <w:rsid w:val="004025DD"/>
    <w:rsid w:val="00407903"/>
    <w:rsid w:val="0041519A"/>
    <w:rsid w:val="00426B9E"/>
    <w:rsid w:val="00427464"/>
    <w:rsid w:val="0042748A"/>
    <w:rsid w:val="0044082B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24A4"/>
    <w:rsid w:val="005C7042"/>
    <w:rsid w:val="005E2E75"/>
    <w:rsid w:val="005E5CAD"/>
    <w:rsid w:val="00612AEB"/>
    <w:rsid w:val="006136F5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2A2D"/>
    <w:rsid w:val="007730CD"/>
    <w:rsid w:val="007A062E"/>
    <w:rsid w:val="007A1DBA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7418D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0B65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0E7B"/>
    <w:rsid w:val="00B521E6"/>
    <w:rsid w:val="00B53399"/>
    <w:rsid w:val="00B5347A"/>
    <w:rsid w:val="00B57026"/>
    <w:rsid w:val="00B70C98"/>
    <w:rsid w:val="00BB5D40"/>
    <w:rsid w:val="00BE240F"/>
    <w:rsid w:val="00BE46F8"/>
    <w:rsid w:val="00BE5E77"/>
    <w:rsid w:val="00BE767E"/>
    <w:rsid w:val="00BF0689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7AE"/>
    <w:rsid w:val="00C91A3E"/>
    <w:rsid w:val="00C93203"/>
    <w:rsid w:val="00C969E9"/>
    <w:rsid w:val="00CB5F94"/>
    <w:rsid w:val="00CE465E"/>
    <w:rsid w:val="00CE7215"/>
    <w:rsid w:val="00CE73D0"/>
    <w:rsid w:val="00CF2433"/>
    <w:rsid w:val="00CF58F2"/>
    <w:rsid w:val="00D020ED"/>
    <w:rsid w:val="00D12A99"/>
    <w:rsid w:val="00D13061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C7A2E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C2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C2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6068</Words>
  <Characters>3459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280</cp:revision>
  <dcterms:created xsi:type="dcterms:W3CDTF">2020-08-21T08:05:00Z</dcterms:created>
  <dcterms:modified xsi:type="dcterms:W3CDTF">2020-09-07T10:45:00Z</dcterms:modified>
</cp:coreProperties>
</file>