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57C" w:rsidRDefault="00B5657C" w:rsidP="00B5657C">
      <w:pPr>
        <w:framePr w:h="1037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 wp14:anchorId="614D5439" wp14:editId="6EA4E672">
            <wp:extent cx="495300" cy="657225"/>
            <wp:effectExtent l="0" t="0" r="0" b="0"/>
            <wp:docPr id="1" name="Рисунок 1" descr="C:\Users\a1\Desktop\работа Ир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1\Desktop\работа Ира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582" w:rsidRDefault="00FE651C" w:rsidP="00B5657C">
      <w:pPr>
        <w:pStyle w:val="10"/>
        <w:keepNext/>
        <w:keepLines/>
        <w:shd w:val="clear" w:color="auto" w:fill="auto"/>
        <w:spacing w:before="240" w:after="329" w:line="360" w:lineRule="exact"/>
        <w:ind w:left="79"/>
        <w:jc w:val="center"/>
      </w:pPr>
      <w:r>
        <w:t>ВИЩА КВАЛІФІКАЦІЙНА КОМІСІЯ СУДДІВ УКРАЇНИ</w:t>
      </w:r>
      <w:bookmarkEnd w:id="0"/>
    </w:p>
    <w:p w:rsidR="00AF1582" w:rsidRDefault="00FE651C">
      <w:pPr>
        <w:pStyle w:val="11"/>
        <w:shd w:val="clear" w:color="auto" w:fill="auto"/>
        <w:spacing w:before="0" w:after="186" w:line="270" w:lineRule="exact"/>
        <w:ind w:left="80"/>
      </w:pPr>
      <w:r>
        <w:t>1 березня 2019 року</w:t>
      </w:r>
      <w:r w:rsidR="00B5657C">
        <w:t xml:space="preserve"> </w:t>
      </w:r>
      <w:r w:rsidR="00B5657C">
        <w:tab/>
      </w:r>
      <w:r w:rsidR="00B5657C">
        <w:tab/>
      </w:r>
      <w:r w:rsidR="00B5657C">
        <w:tab/>
      </w:r>
      <w:r w:rsidR="00B5657C">
        <w:tab/>
      </w:r>
      <w:r w:rsidR="00B5657C">
        <w:tab/>
      </w:r>
      <w:r w:rsidR="00B5657C">
        <w:tab/>
      </w:r>
      <w:r w:rsidR="00B5657C">
        <w:tab/>
      </w:r>
      <w:r w:rsidR="00B5657C">
        <w:tab/>
      </w:r>
      <w:r w:rsidR="00B5657C">
        <w:tab/>
        <w:t xml:space="preserve">    м. Київ</w:t>
      </w:r>
    </w:p>
    <w:p w:rsidR="00B5657C" w:rsidRDefault="00B5657C" w:rsidP="00B5657C">
      <w:pPr>
        <w:pStyle w:val="11"/>
        <w:shd w:val="clear" w:color="auto" w:fill="auto"/>
        <w:spacing w:before="0" w:after="186" w:line="270" w:lineRule="exact"/>
        <w:ind w:left="80"/>
        <w:jc w:val="center"/>
      </w:pPr>
      <w:r w:rsidRPr="00B5657C">
        <w:rPr>
          <w:spacing w:val="60"/>
        </w:rPr>
        <w:t>РІШЕННЯ</w:t>
      </w:r>
      <w:r>
        <w:t xml:space="preserve"> № </w:t>
      </w:r>
      <w:r w:rsidRPr="00B5657C">
        <w:rPr>
          <w:u w:val="single"/>
        </w:rPr>
        <w:t>19/пс-19</w:t>
      </w:r>
    </w:p>
    <w:p w:rsidR="00AF1582" w:rsidRDefault="00AF1582">
      <w:pPr>
        <w:rPr>
          <w:sz w:val="2"/>
          <w:szCs w:val="2"/>
        </w:rPr>
      </w:pPr>
    </w:p>
    <w:p w:rsidR="00AF1582" w:rsidRDefault="00FE651C">
      <w:pPr>
        <w:pStyle w:val="11"/>
        <w:shd w:val="clear" w:color="auto" w:fill="auto"/>
        <w:spacing w:before="181" w:after="285" w:line="326" w:lineRule="exact"/>
        <w:ind w:left="80" w:firstLine="680"/>
      </w:pPr>
      <w:r>
        <w:t xml:space="preserve">Вища кваліфікаційна комісія суддів України у складі палати з питань </w:t>
      </w:r>
      <w:r w:rsidR="00B5657C">
        <w:t xml:space="preserve">  </w:t>
      </w:r>
      <w:r>
        <w:t>добору і публічної служби суддів:</w:t>
      </w:r>
    </w:p>
    <w:p w:rsidR="00AF1582" w:rsidRDefault="00FE651C">
      <w:pPr>
        <w:pStyle w:val="11"/>
        <w:shd w:val="clear" w:color="auto" w:fill="auto"/>
        <w:spacing w:before="0" w:after="307" w:line="270" w:lineRule="exact"/>
        <w:ind w:left="8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AF1582" w:rsidRDefault="00FE651C">
      <w:pPr>
        <w:pStyle w:val="11"/>
        <w:shd w:val="clear" w:color="auto" w:fill="auto"/>
        <w:spacing w:before="0" w:after="244" w:line="326" w:lineRule="exact"/>
        <w:ind w:left="80"/>
      </w:pPr>
      <w:r>
        <w:t xml:space="preserve">членів Комісії: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AF1582" w:rsidRDefault="00FE651C">
      <w:pPr>
        <w:pStyle w:val="11"/>
        <w:shd w:val="clear" w:color="auto" w:fill="auto"/>
        <w:spacing w:before="0" w:after="281" w:line="322" w:lineRule="exact"/>
        <w:ind w:left="80"/>
      </w:pPr>
      <w:r>
        <w:t>розглянувши питання щодо внесення подання про відрядження суддів до Радомишльського районного суду Житомирської області для здійснення правосуддя,</w:t>
      </w:r>
    </w:p>
    <w:p w:rsidR="00AF1582" w:rsidRDefault="00FE651C">
      <w:pPr>
        <w:pStyle w:val="11"/>
        <w:shd w:val="clear" w:color="auto" w:fill="auto"/>
        <w:spacing w:before="0" w:after="315" w:line="270" w:lineRule="exact"/>
        <w:ind w:left="4420"/>
        <w:jc w:val="left"/>
      </w:pPr>
      <w:r>
        <w:t>встановила:</w:t>
      </w:r>
    </w:p>
    <w:p w:rsidR="00AF1582" w:rsidRDefault="00FE651C">
      <w:pPr>
        <w:pStyle w:val="11"/>
        <w:shd w:val="clear" w:color="auto" w:fill="auto"/>
        <w:spacing w:before="0" w:after="0" w:line="322" w:lineRule="exact"/>
        <w:ind w:left="80" w:firstLine="680"/>
      </w:pPr>
      <w:r>
        <w:t xml:space="preserve">До Комісії надійшло повідомлення Державної судової адміністрації </w:t>
      </w:r>
      <w:r w:rsidR="001B2464">
        <w:t xml:space="preserve">               </w:t>
      </w:r>
      <w:r>
        <w:t>України (далі - ДСА України) про наявність підстав для відрядження суддів у зв’язку з виявленням надмірного рівня судового навантаження у Радомишльському районному суді Житомирської області.</w:t>
      </w:r>
    </w:p>
    <w:p w:rsidR="00AF1582" w:rsidRDefault="00FE651C">
      <w:pPr>
        <w:pStyle w:val="11"/>
        <w:shd w:val="clear" w:color="auto" w:fill="auto"/>
        <w:spacing w:before="0" w:after="0" w:line="322" w:lineRule="exact"/>
        <w:ind w:left="80" w:firstLine="680"/>
      </w:pPr>
      <w:r>
        <w:t xml:space="preserve">За штатним розписом, у цьому суді визначено чотири штатні посади </w:t>
      </w:r>
      <w:r w:rsidR="001B2464">
        <w:t xml:space="preserve">                     </w:t>
      </w:r>
      <w:r>
        <w:t>суддів, три з цих посад є вакантними, а четверту обіймає суддя, повноваження якої закінчилися.</w:t>
      </w:r>
    </w:p>
    <w:p w:rsidR="00AF1582" w:rsidRDefault="00FE651C" w:rsidP="001B2464">
      <w:pPr>
        <w:pStyle w:val="11"/>
        <w:shd w:val="clear" w:color="auto" w:fill="auto"/>
        <w:spacing w:before="0" w:after="0" w:line="322" w:lineRule="exact"/>
        <w:ind w:left="80" w:firstLine="680"/>
      </w:pPr>
      <w:r>
        <w:t xml:space="preserve">Згідно з повідомленням ДСА України, відрядження 2 суддів до цього </w:t>
      </w:r>
      <w:r w:rsidR="001B2464">
        <w:t xml:space="preserve">                       </w:t>
      </w:r>
      <w:r>
        <w:t>суду строком на шість місяців дозволить врегулювати навантаження та забезпечить належні умови для доступу до правосуддя у цьому суді.</w:t>
      </w:r>
    </w:p>
    <w:p w:rsidR="00AF1582" w:rsidRDefault="00FE651C">
      <w:pPr>
        <w:pStyle w:val="11"/>
        <w:shd w:val="clear" w:color="auto" w:fill="auto"/>
        <w:spacing w:before="0" w:after="0" w:line="322" w:lineRule="exact"/>
        <w:ind w:left="80" w:right="40" w:firstLine="680"/>
      </w:pPr>
      <w:r>
        <w:t xml:space="preserve">Порядок відрядження судді до іншого суду того самого рівня і </w:t>
      </w:r>
      <w:r w:rsidR="001B2464">
        <w:t xml:space="preserve">                    </w:t>
      </w:r>
      <w:r>
        <w:t>спеціалізації (як тимчасового переведення) з</w:t>
      </w:r>
      <w:r w:rsidR="001B2464">
        <w:t xml:space="preserve">атверджено рішенням Вищої ради </w:t>
      </w:r>
      <w:r>
        <w:t>правосуддя від 24 січня 2017 року № 54/0/15-17 (далі - Порядок),</w:t>
      </w:r>
    </w:p>
    <w:p w:rsidR="00AF1582" w:rsidRDefault="00FE651C">
      <w:pPr>
        <w:pStyle w:val="11"/>
        <w:shd w:val="clear" w:color="auto" w:fill="auto"/>
        <w:spacing w:before="0" w:after="0" w:line="322" w:lineRule="exact"/>
        <w:ind w:left="80" w:right="40" w:firstLine="680"/>
      </w:pPr>
      <w:r>
        <w:t xml:space="preserve">Відповідно до пунктів 1, 2 розділу III Порядку, Комісією призначено до розгляду питання щодо внесення подання про відрядження суддів до Радомишльського районного суду Житомирської області для здійснення правосуддя та розміщено відповідне оголошення на офіційному веб-сайті </w:t>
      </w:r>
      <w:r w:rsidR="001B2464">
        <w:t xml:space="preserve">        </w:t>
      </w:r>
      <w:r>
        <w:t>Комісії.</w:t>
      </w:r>
      <w:r>
        <w:br w:type="page"/>
      </w:r>
      <w:bookmarkStart w:id="1" w:name="_GoBack"/>
      <w:bookmarkEnd w:id="1"/>
    </w:p>
    <w:p w:rsidR="00AF1582" w:rsidRDefault="00FE651C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lastRenderedPageBreak/>
        <w:t xml:space="preserve">8 лютого 2019 року до Комісії із згодою на відрядження до цього суду звернулася суддя Лисичанського міського суду Луганської області </w:t>
      </w:r>
      <w:r w:rsidR="00FA1594">
        <w:t xml:space="preserve">                    </w:t>
      </w:r>
      <w:proofErr w:type="spellStart"/>
      <w:r>
        <w:t>Луньова</w:t>
      </w:r>
      <w:proofErr w:type="spellEnd"/>
      <w:r>
        <w:t xml:space="preserve"> Д.Ю.</w:t>
      </w:r>
    </w:p>
    <w:p w:rsidR="00AF1582" w:rsidRDefault="00FE651C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 xml:space="preserve">Доводів на обґрунтування свого бажання бути відрядженою до іншого </w:t>
      </w:r>
      <w:r w:rsidR="00FA1594">
        <w:t xml:space="preserve">                    </w:t>
      </w:r>
      <w:r>
        <w:t>суду вона не навела.</w:t>
      </w:r>
    </w:p>
    <w:p w:rsidR="00AF1582" w:rsidRDefault="00FE651C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 xml:space="preserve">На засідання Комісії суддя </w:t>
      </w:r>
      <w:proofErr w:type="spellStart"/>
      <w:r>
        <w:t>Луньова</w:t>
      </w:r>
      <w:proofErr w:type="spellEnd"/>
      <w:r>
        <w:t xml:space="preserve"> Д.Ю. не з’явилася, однак, її </w:t>
      </w:r>
      <w:r w:rsidR="00FA1594">
        <w:t xml:space="preserve">                        </w:t>
      </w:r>
      <w:r>
        <w:t>відсутність, відповідно до пункту 8 Порядку, не перешкоджає розгляду призначеного питання.</w:t>
      </w:r>
    </w:p>
    <w:p w:rsidR="00AF1582" w:rsidRDefault="00FE651C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 xml:space="preserve">Заслухавши доповідача - члена Комісії </w:t>
      </w:r>
      <w:proofErr w:type="spellStart"/>
      <w:r>
        <w:t>Весельську</w:t>
      </w:r>
      <w:proofErr w:type="spellEnd"/>
      <w:r>
        <w:t xml:space="preserve"> Т.Ф., дослідивши </w:t>
      </w:r>
      <w:r w:rsidR="00FA1594">
        <w:t xml:space="preserve">                      </w:t>
      </w:r>
      <w:r>
        <w:t xml:space="preserve">наявні у розпорядженні Комісії матеріали та, з урахуванням інформації, </w:t>
      </w:r>
      <w:r w:rsidR="00FA1594">
        <w:t xml:space="preserve">                  </w:t>
      </w:r>
      <w:r>
        <w:t>отриманої під час засідання, Комісія встановила таке.</w:t>
      </w:r>
    </w:p>
    <w:p w:rsidR="00AF1582" w:rsidRDefault="00FE651C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 xml:space="preserve">Відповідно до пункту 10 розділу III Порядку при розгляді питання про відрядження судді у зв’язку з виявленням надмірного рівня судового навантаження Комісією має враховуватися якість розгляду справ, стаж роботи </w:t>
      </w:r>
      <w:r w:rsidR="00FA1594">
        <w:t xml:space="preserve">                        </w:t>
      </w:r>
      <w:r>
        <w:t xml:space="preserve">на посаді судді, інформація про стан здійснення правосуддя в суді, в якому </w:t>
      </w:r>
      <w:r w:rsidR="00FA1594">
        <w:t xml:space="preserve">                  </w:t>
      </w:r>
      <w:r>
        <w:t>суддя обіймає штатну посаду.</w:t>
      </w:r>
    </w:p>
    <w:p w:rsidR="00AF1582" w:rsidRDefault="00FE651C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 xml:space="preserve">Комісією встановлено, що </w:t>
      </w:r>
      <w:proofErr w:type="spellStart"/>
      <w:r>
        <w:t>Луньова</w:t>
      </w:r>
      <w:proofErr w:type="spellEnd"/>
      <w:r>
        <w:t xml:space="preserve"> Д.Ю. призначена на посаду судді Лисичанського міського суду Луганської області строком на п’ять років </w:t>
      </w:r>
      <w:r w:rsidR="00FA1594">
        <w:t xml:space="preserve">                     </w:t>
      </w:r>
      <w:r>
        <w:t>Указом Президента України від 29 вересня 2016 року № 425/2016 “Про призначення суддів”; стаж роботи на посаді судді два роки.</w:t>
      </w:r>
    </w:p>
    <w:p w:rsidR="00AF1582" w:rsidRDefault="00FE651C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 xml:space="preserve">За інформацією, наданою Головою Лисичанського міського суду </w:t>
      </w:r>
      <w:r w:rsidR="00FA1594">
        <w:t xml:space="preserve">           </w:t>
      </w:r>
      <w:r>
        <w:t xml:space="preserve">Луганської області, штатна чисельність посад суддів у цьому суді становить </w:t>
      </w:r>
      <w:r w:rsidR="00FA1594">
        <w:t xml:space="preserve">                    </w:t>
      </w:r>
      <w:r>
        <w:t xml:space="preserve">15, фактично перебувають на посадах 9 суддів, із них правосуддя здійснює </w:t>
      </w:r>
      <w:r w:rsidR="00FA1594">
        <w:t xml:space="preserve">                          </w:t>
      </w:r>
      <w:r>
        <w:t>5 суддів. У провадженні суддів цього суду перебуває 620 справ кримінальної юрисдикції, 836 справ цивільної юрисдикції, 108 справ адміністративної юрисдикції та 212 справ про адміністративні правопорушення.</w:t>
      </w:r>
    </w:p>
    <w:p w:rsidR="00AF1582" w:rsidRDefault="00FE651C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 xml:space="preserve">У суді існує спеціалізація, згідно з якою суддя </w:t>
      </w:r>
      <w:proofErr w:type="spellStart"/>
      <w:r>
        <w:t>Луньова</w:t>
      </w:r>
      <w:proofErr w:type="spellEnd"/>
      <w:r>
        <w:t xml:space="preserve"> Д.Ю. здійснює розгляд справ кримінальної юрисдикції та справ про адміністративні правопорушення.</w:t>
      </w:r>
    </w:p>
    <w:p w:rsidR="00AF1582" w:rsidRDefault="00FE651C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 xml:space="preserve">У 2017 - 2018 роках вона розглянула 176 кримінальних справ, </w:t>
      </w:r>
      <w:r w:rsidR="00FA1594">
        <w:t xml:space="preserve">                                 </w:t>
      </w:r>
      <w:r>
        <w:t xml:space="preserve">517 цивільних справ та 434 справи про адміністративні правопорушення. У </w:t>
      </w:r>
      <w:r w:rsidR="00FA1594">
        <w:t xml:space="preserve">                      </w:t>
      </w:r>
      <w:r>
        <w:t xml:space="preserve">цей же період суд вищої інстанції скасував по 1-му рішенню, прийнятому нею </w:t>
      </w:r>
      <w:r w:rsidR="00FA1594">
        <w:t xml:space="preserve">             </w:t>
      </w:r>
      <w:r>
        <w:t xml:space="preserve">у кожній із названих категорій справ та змінив 1 судове рішення у </w:t>
      </w:r>
      <w:r w:rsidR="00FA1594">
        <w:t xml:space="preserve">                  </w:t>
      </w:r>
      <w:r>
        <w:t>кримінальній справі.</w:t>
      </w:r>
    </w:p>
    <w:p w:rsidR="00AF1582" w:rsidRDefault="00FE651C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 xml:space="preserve">Наразі у провадженні цієї судді перебуває 106 кримінальних справ, з них понад три місяці - 61 справа та 59 цивільних справ, з них понад три місяці - </w:t>
      </w:r>
      <w:r w:rsidR="00FA1594">
        <w:t xml:space="preserve">                        </w:t>
      </w:r>
      <w:r>
        <w:t>10 справ.</w:t>
      </w:r>
    </w:p>
    <w:p w:rsidR="00AF1582" w:rsidRDefault="00FE651C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 xml:space="preserve">Голова суду також повідомив, що у суді наявні судові справи, розгляд </w:t>
      </w:r>
      <w:r w:rsidR="00FA1594">
        <w:t xml:space="preserve">                   </w:t>
      </w:r>
      <w:r>
        <w:t xml:space="preserve">яких здійснюється колегією </w:t>
      </w:r>
      <w:r w:rsidR="001B2464">
        <w:t xml:space="preserve">суддів за участі </w:t>
      </w:r>
      <w:proofErr w:type="spellStart"/>
      <w:r w:rsidR="001B2464">
        <w:t>Луньової</w:t>
      </w:r>
      <w:proofErr w:type="spellEnd"/>
      <w:r w:rsidR="001B2464">
        <w:t xml:space="preserve"> Д.Ю. Ї</w:t>
      </w:r>
      <w:r>
        <w:t>ї відрядження до іншого суду не стане перешкодою для утворення колегії суддів для розгляду окремих категорій судових справ.</w:t>
      </w:r>
    </w:p>
    <w:p w:rsidR="00AF1582" w:rsidRDefault="00FE651C">
      <w:pPr>
        <w:pStyle w:val="11"/>
        <w:shd w:val="clear" w:color="auto" w:fill="auto"/>
        <w:spacing w:before="0" w:after="0" w:line="317" w:lineRule="exact"/>
        <w:ind w:left="20" w:right="40" w:firstLine="700"/>
      </w:pPr>
      <w:r>
        <w:t xml:space="preserve">Комісія, урахувавши стан здійснення правосуддя у Лисичанському </w:t>
      </w:r>
      <w:r w:rsidR="00FA1594">
        <w:t xml:space="preserve">                 </w:t>
      </w:r>
      <w:r>
        <w:t xml:space="preserve">міському суді Луганської області приходить до висновку, що з метою </w:t>
      </w:r>
      <w:r w:rsidR="00FA1594">
        <w:t xml:space="preserve">                  </w:t>
      </w:r>
      <w:r>
        <w:t xml:space="preserve">уникнення надмірного судового навантаження, та, як наслідок, погіршення </w:t>
      </w:r>
      <w:r w:rsidR="00FA1594">
        <w:t xml:space="preserve">               </w:t>
      </w:r>
      <w:r>
        <w:t xml:space="preserve">стану </w:t>
      </w:r>
      <w:r w:rsidR="00FA1594">
        <w:t xml:space="preserve">  </w:t>
      </w:r>
      <w:r>
        <w:t xml:space="preserve">здійснення </w:t>
      </w:r>
      <w:r w:rsidR="00FA1594">
        <w:t xml:space="preserve">  </w:t>
      </w:r>
      <w:r>
        <w:t xml:space="preserve">правосуддя </w:t>
      </w:r>
      <w:r w:rsidR="00FA1594">
        <w:t xml:space="preserve">  </w:t>
      </w:r>
      <w:r>
        <w:t>у</w:t>
      </w:r>
      <w:r w:rsidR="00FA1594">
        <w:t xml:space="preserve">  </w:t>
      </w:r>
      <w:r>
        <w:t xml:space="preserve"> цьому</w:t>
      </w:r>
      <w:r w:rsidR="00FA1594">
        <w:t xml:space="preserve">  </w:t>
      </w:r>
      <w:r>
        <w:t xml:space="preserve"> суді, </w:t>
      </w:r>
      <w:r w:rsidR="00FA1594">
        <w:t xml:space="preserve">   </w:t>
      </w:r>
      <w:r>
        <w:t>у</w:t>
      </w:r>
      <w:r w:rsidR="00FA1594">
        <w:t xml:space="preserve">   </w:t>
      </w:r>
      <w:r>
        <w:t xml:space="preserve"> внесенні</w:t>
      </w:r>
      <w:r w:rsidR="00FA1594">
        <w:t xml:space="preserve">   </w:t>
      </w:r>
      <w:r>
        <w:t xml:space="preserve"> подання</w:t>
      </w:r>
      <w:r w:rsidR="00FA1594">
        <w:t xml:space="preserve">   </w:t>
      </w:r>
      <w:r>
        <w:t xml:space="preserve"> щодо</w:t>
      </w:r>
      <w:r>
        <w:br w:type="page"/>
      </w:r>
      <w:r>
        <w:lastRenderedPageBreak/>
        <w:t xml:space="preserve">відрядження судді </w:t>
      </w:r>
      <w:proofErr w:type="spellStart"/>
      <w:r>
        <w:t>Луньової</w:t>
      </w:r>
      <w:proofErr w:type="spellEnd"/>
      <w:r>
        <w:t xml:space="preserve"> Д.Ю. до Радомишльського районного суду Житомирської області слід відмовити.</w:t>
      </w:r>
    </w:p>
    <w:p w:rsidR="00AF1582" w:rsidRDefault="00FE651C">
      <w:pPr>
        <w:pStyle w:val="11"/>
        <w:shd w:val="clear" w:color="auto" w:fill="auto"/>
        <w:spacing w:before="0" w:after="278" w:line="317" w:lineRule="exact"/>
        <w:ind w:right="20" w:firstLine="700"/>
      </w:pPr>
      <w:r>
        <w:t xml:space="preserve"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</w:t>
      </w:r>
      <w:r w:rsidR="000B3A7A">
        <w:t xml:space="preserve">                 </w:t>
      </w:r>
      <w:r>
        <w:t xml:space="preserve">ради правосуддя від 24 січня 2017 року № 54/0/15-17, Вища кваліфікаційна </w:t>
      </w:r>
      <w:r w:rsidR="000B3A7A">
        <w:t xml:space="preserve">                   </w:t>
      </w:r>
      <w:r>
        <w:t>комісія суддів України, -</w:t>
      </w:r>
    </w:p>
    <w:p w:rsidR="00AF1582" w:rsidRDefault="00FE651C">
      <w:pPr>
        <w:pStyle w:val="11"/>
        <w:shd w:val="clear" w:color="auto" w:fill="auto"/>
        <w:spacing w:before="0" w:after="311" w:line="270" w:lineRule="exact"/>
        <w:ind w:left="4460"/>
        <w:jc w:val="left"/>
      </w:pPr>
      <w:r>
        <w:t>вирішила:</w:t>
      </w:r>
    </w:p>
    <w:p w:rsidR="00AF1582" w:rsidRDefault="00FE651C">
      <w:pPr>
        <w:pStyle w:val="11"/>
        <w:shd w:val="clear" w:color="auto" w:fill="auto"/>
        <w:spacing w:before="0" w:after="0" w:line="322" w:lineRule="exact"/>
        <w:ind w:right="20" w:firstLine="700"/>
      </w:pPr>
      <w:r>
        <w:t>відмовити у внесенні подання щодо відрядження до Радомишльського районного суду Житомирської області судді Лисичанського міського суду Луганської</w:t>
      </w:r>
      <w:r w:rsidR="00B5657C">
        <w:t xml:space="preserve"> області </w:t>
      </w:r>
      <w:proofErr w:type="spellStart"/>
      <w:r w:rsidR="00B5657C">
        <w:t>Луньової</w:t>
      </w:r>
      <w:proofErr w:type="spellEnd"/>
      <w:r w:rsidR="00B5657C">
        <w:t xml:space="preserve"> Дар’ї Юріївни.</w:t>
      </w:r>
    </w:p>
    <w:p w:rsidR="00B5657C" w:rsidRDefault="00B5657C">
      <w:pPr>
        <w:pStyle w:val="11"/>
        <w:shd w:val="clear" w:color="auto" w:fill="auto"/>
        <w:spacing w:before="0" w:after="0" w:line="322" w:lineRule="exact"/>
        <w:ind w:right="20" w:firstLine="700"/>
      </w:pPr>
    </w:p>
    <w:p w:rsidR="00B5657C" w:rsidRDefault="00B5657C">
      <w:pPr>
        <w:pStyle w:val="11"/>
        <w:shd w:val="clear" w:color="auto" w:fill="auto"/>
        <w:spacing w:before="0" w:after="0" w:line="322" w:lineRule="exact"/>
        <w:ind w:right="20" w:firstLine="700"/>
      </w:pPr>
    </w:p>
    <w:p w:rsidR="00B5657C" w:rsidRDefault="00B5657C" w:rsidP="00B5657C">
      <w:pPr>
        <w:pStyle w:val="11"/>
        <w:shd w:val="clear" w:color="auto" w:fill="auto"/>
        <w:spacing w:before="0" w:after="0" w:line="322" w:lineRule="exact"/>
        <w:ind w:right="20"/>
      </w:pPr>
    </w:p>
    <w:p w:rsidR="00B5657C" w:rsidRPr="00230829" w:rsidRDefault="00B5657C" w:rsidP="00B5657C">
      <w:pPr>
        <w:pStyle w:val="40"/>
        <w:shd w:val="clear" w:color="auto" w:fill="auto"/>
        <w:spacing w:after="370" w:line="317" w:lineRule="exact"/>
        <w:ind w:left="20"/>
        <w:rPr>
          <w:sz w:val="25"/>
          <w:szCs w:val="25"/>
        </w:rPr>
      </w:pPr>
      <w:r w:rsidRPr="00230829">
        <w:rPr>
          <w:sz w:val="25"/>
          <w:szCs w:val="25"/>
        </w:rPr>
        <w:t xml:space="preserve">Головуючий </w:t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В.І. Бутенко</w:t>
      </w:r>
    </w:p>
    <w:p w:rsidR="00B5657C" w:rsidRPr="00230829" w:rsidRDefault="00B5657C" w:rsidP="00B5657C">
      <w:pPr>
        <w:pStyle w:val="40"/>
        <w:shd w:val="clear" w:color="auto" w:fill="auto"/>
        <w:spacing w:after="36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 xml:space="preserve">Члени Комісії </w:t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А.В. Василенко</w:t>
      </w:r>
    </w:p>
    <w:p w:rsidR="00B5657C" w:rsidRPr="00230829" w:rsidRDefault="00B5657C" w:rsidP="00B5657C">
      <w:pPr>
        <w:pStyle w:val="40"/>
        <w:shd w:val="clear" w:color="auto" w:fill="auto"/>
        <w:spacing w:after="36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Т.Ф. Весельська</w:t>
      </w:r>
    </w:p>
    <w:p w:rsidR="00B5657C" w:rsidRPr="00230829" w:rsidRDefault="00B5657C" w:rsidP="00B5657C">
      <w:pPr>
        <w:pStyle w:val="40"/>
        <w:shd w:val="clear" w:color="auto" w:fill="auto"/>
        <w:spacing w:after="36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С.В. Гладій</w:t>
      </w:r>
    </w:p>
    <w:p w:rsidR="00B5657C" w:rsidRPr="00230829" w:rsidRDefault="00B5657C" w:rsidP="00B5657C">
      <w:pPr>
        <w:pStyle w:val="40"/>
        <w:shd w:val="clear" w:color="auto" w:fill="auto"/>
        <w:spacing w:after="36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А.О. Заріцька</w:t>
      </w:r>
    </w:p>
    <w:p w:rsidR="00B5657C" w:rsidRPr="00230829" w:rsidRDefault="00B5657C" w:rsidP="00B5657C">
      <w:pPr>
        <w:pStyle w:val="40"/>
        <w:shd w:val="clear" w:color="auto" w:fill="auto"/>
        <w:spacing w:after="36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Т.В. Лукаш</w:t>
      </w:r>
    </w:p>
    <w:p w:rsidR="00B5657C" w:rsidRPr="00230829" w:rsidRDefault="00B5657C" w:rsidP="00B5657C">
      <w:pPr>
        <w:pStyle w:val="40"/>
        <w:shd w:val="clear" w:color="auto" w:fill="auto"/>
        <w:spacing w:after="36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М.А. Макарчук</w:t>
      </w:r>
    </w:p>
    <w:p w:rsidR="00B5657C" w:rsidRDefault="00B5657C" w:rsidP="00B5657C">
      <w:pPr>
        <w:spacing w:after="360" w:line="298" w:lineRule="exact"/>
        <w:ind w:left="20" w:right="20"/>
        <w:sectPr w:rsidR="00B5657C" w:rsidSect="000235D9">
          <w:headerReference w:type="even" r:id="rId8"/>
          <w:headerReference w:type="default" r:id="rId9"/>
          <w:footerReference w:type="default" r:id="rId10"/>
          <w:type w:val="continuous"/>
          <w:pgSz w:w="11909" w:h="16838"/>
          <w:pgMar w:top="1106" w:right="1107" w:bottom="544" w:left="1115" w:header="0" w:footer="3" w:gutter="0"/>
          <w:pgNumType w:start="1"/>
          <w:cols w:space="720"/>
          <w:noEndnote/>
          <w:titlePg/>
          <w:docGrid w:linePitch="360"/>
        </w:sectPr>
      </w:pPr>
    </w:p>
    <w:p w:rsidR="00B5657C" w:rsidRDefault="00B5657C" w:rsidP="00B5657C">
      <w:pPr>
        <w:pStyle w:val="11"/>
        <w:shd w:val="clear" w:color="auto" w:fill="auto"/>
        <w:spacing w:before="0" w:after="0" w:line="322" w:lineRule="exact"/>
        <w:ind w:right="20"/>
        <w:sectPr w:rsidR="00B5657C">
          <w:footerReference w:type="even" r:id="rId11"/>
          <w:type w:val="continuous"/>
          <w:pgSz w:w="11909" w:h="16838"/>
          <w:pgMar w:top="722" w:right="1190" w:bottom="956" w:left="1104" w:header="0" w:footer="3" w:gutter="0"/>
          <w:cols w:space="720"/>
          <w:noEndnote/>
          <w:docGrid w:linePitch="360"/>
        </w:sectPr>
      </w:pPr>
    </w:p>
    <w:p w:rsidR="00AF1582" w:rsidRDefault="00AF1582">
      <w:pPr>
        <w:pStyle w:val="21"/>
        <w:shd w:val="clear" w:color="auto" w:fill="auto"/>
        <w:spacing w:line="240" w:lineRule="exact"/>
      </w:pPr>
    </w:p>
    <w:sectPr w:rsidR="00AF1582">
      <w:type w:val="continuous"/>
      <w:pgSz w:w="11909" w:h="16838"/>
      <w:pgMar w:top="626" w:right="1063" w:bottom="626" w:left="105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32A" w:rsidRDefault="0076532A">
      <w:r>
        <w:separator/>
      </w:r>
    </w:p>
  </w:endnote>
  <w:endnote w:type="continuationSeparator" w:id="0">
    <w:p w:rsidR="0076532A" w:rsidRDefault="0076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avi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599992"/>
      <w:docPartObj>
        <w:docPartGallery w:val="Page Numbers (Bottom of Page)"/>
        <w:docPartUnique/>
      </w:docPartObj>
    </w:sdtPr>
    <w:sdtContent>
      <w:p w:rsidR="000235D9" w:rsidRDefault="000235D9">
        <w:pPr>
          <w:pStyle w:val="ad"/>
          <w:jc w:val="right"/>
        </w:pPr>
        <w:r w:rsidRPr="000235D9">
          <w:rPr>
            <w:rFonts w:ascii="Times New Roman" w:hAnsi="Times New Roman" w:cs="Times New Roman"/>
          </w:rPr>
          <w:fldChar w:fldCharType="begin"/>
        </w:r>
        <w:r w:rsidRPr="000235D9">
          <w:rPr>
            <w:rFonts w:ascii="Times New Roman" w:hAnsi="Times New Roman" w:cs="Times New Roman"/>
          </w:rPr>
          <w:instrText>PAGE   \* MERGEFORMAT</w:instrText>
        </w:r>
        <w:r w:rsidRPr="000235D9">
          <w:rPr>
            <w:rFonts w:ascii="Times New Roman" w:hAnsi="Times New Roman" w:cs="Times New Roman"/>
          </w:rPr>
          <w:fldChar w:fldCharType="separate"/>
        </w:r>
        <w:r w:rsidRPr="000235D9">
          <w:rPr>
            <w:rFonts w:ascii="Times New Roman" w:hAnsi="Times New Roman" w:cs="Times New Roman"/>
            <w:noProof/>
            <w:lang w:val="ru-RU"/>
          </w:rPr>
          <w:t>3</w:t>
        </w:r>
        <w:r w:rsidRPr="000235D9">
          <w:rPr>
            <w:rFonts w:ascii="Times New Roman" w:hAnsi="Times New Roman" w:cs="Times New Roman"/>
          </w:rPr>
          <w:fldChar w:fldCharType="end"/>
        </w:r>
      </w:p>
    </w:sdtContent>
  </w:sdt>
  <w:p w:rsidR="000235D9" w:rsidRDefault="000235D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582" w:rsidRDefault="0076532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6.9pt;margin-top:797.85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F1582" w:rsidRDefault="00FE651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32A" w:rsidRDefault="0076532A"/>
  </w:footnote>
  <w:footnote w:type="continuationSeparator" w:id="0">
    <w:p w:rsidR="0076532A" w:rsidRDefault="007653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57C" w:rsidRDefault="0076532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75pt;margin-top:27pt;width:5.3pt;height:8.15pt;z-index:-251656704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B5657C" w:rsidRDefault="00B5657C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B2464" w:rsidRPr="001B2464">
                  <w:rPr>
                    <w:rStyle w:val="a7"/>
                    <w:rFonts w:eastAsia="Courier New"/>
                    <w:noProof/>
                  </w:rPr>
                  <w:t>2</w:t>
                </w:r>
                <w:r>
                  <w:rPr>
                    <w:rStyle w:val="a7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57C" w:rsidRDefault="00B5657C">
    <w:pPr>
      <w:pStyle w:val="ab"/>
      <w:jc w:val="center"/>
    </w:pPr>
  </w:p>
  <w:p w:rsidR="00B5657C" w:rsidRDefault="00B5657C" w:rsidP="00F00927">
    <w:pPr>
      <w:pStyle w:val="ab"/>
      <w:jc w:val="center"/>
      <w:rPr>
        <w:rFonts w:ascii="Times New Roman" w:hAnsi="Times New Roman" w:cs="Times New Roman"/>
      </w:rPr>
    </w:pPr>
  </w:p>
  <w:p w:rsidR="00B5657C" w:rsidRPr="00F00927" w:rsidRDefault="00B5657C" w:rsidP="00F00927">
    <w:pPr>
      <w:pStyle w:val="ab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F1582"/>
    <w:rsid w:val="000235D9"/>
    <w:rsid w:val="000B3A7A"/>
    <w:rsid w:val="001B2464"/>
    <w:rsid w:val="0076532A"/>
    <w:rsid w:val="00AF1582"/>
    <w:rsid w:val="00B5657C"/>
    <w:rsid w:val="00FA1594"/>
    <w:rsid w:val="00FE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/>
      <w:iCs/>
      <w:smallCaps w:val="0"/>
      <w:strike w:val="0"/>
      <w:spacing w:val="13"/>
      <w:sz w:val="108"/>
      <w:szCs w:val="108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3"/>
      <w:w w:val="100"/>
      <w:position w:val="0"/>
      <w:sz w:val="108"/>
      <w:szCs w:val="108"/>
      <w:u w:val="non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3Exact">
    <w:name w:val="Подпись к картинке (3) Exact"/>
    <w:basedOn w:val="a0"/>
    <w:link w:val="3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3Exact0">
    <w:name w:val="Подпись к картинке (3) Exact"/>
    <w:basedOn w:val="3Exact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rPr>
      <w:rFonts w:ascii="David" w:eastAsia="David" w:hAnsi="David" w:cs="David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13"/>
      <w:sz w:val="108"/>
      <w:szCs w:val="108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3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Verdana" w:eastAsia="Verdana" w:hAnsi="Verdana" w:cs="Verdana"/>
      <w:b/>
      <w:bCs/>
    </w:rPr>
  </w:style>
  <w:style w:type="paragraph" w:customStyle="1" w:styleId="4">
    <w:name w:val="Подпись к картинке (4)"/>
    <w:basedOn w:val="a"/>
    <w:link w:val="4Exact"/>
    <w:pPr>
      <w:shd w:val="clear" w:color="auto" w:fill="FFFFFF"/>
      <w:spacing w:line="0" w:lineRule="atLeast"/>
    </w:pPr>
    <w:rPr>
      <w:rFonts w:ascii="David" w:eastAsia="David" w:hAnsi="David" w:cs="David"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565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657C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B5657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5657C"/>
    <w:rPr>
      <w:color w:val="000000"/>
    </w:rPr>
  </w:style>
  <w:style w:type="paragraph" w:customStyle="1" w:styleId="40">
    <w:name w:val="Основной текст4"/>
    <w:basedOn w:val="a"/>
    <w:rsid w:val="00B5657C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d">
    <w:name w:val="footer"/>
    <w:basedOn w:val="a"/>
    <w:link w:val="ae"/>
    <w:uiPriority w:val="99"/>
    <w:unhideWhenUsed/>
    <w:rsid w:val="001B246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B246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843</Words>
  <Characters>4808</Characters>
  <Application>Microsoft Office Word</Application>
  <DocSecurity>0</DocSecurity>
  <Lines>40</Lines>
  <Paragraphs>11</Paragraphs>
  <ScaleCrop>false</ScaleCrop>
  <Company/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6</cp:revision>
  <dcterms:created xsi:type="dcterms:W3CDTF">2020-09-11T12:01:00Z</dcterms:created>
  <dcterms:modified xsi:type="dcterms:W3CDTF">2020-09-11T12:13:00Z</dcterms:modified>
</cp:coreProperties>
</file>