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</w:t>
      </w:r>
      <w:r w:rsidR="000B08FA" w:rsidRPr="000B08FA">
        <w:rPr>
          <w:rStyle w:val="atitle"/>
          <w:b/>
          <w:sz w:val="28"/>
          <w:szCs w:val="28"/>
        </w:rPr>
        <w:t xml:space="preserve">/ 2016 </w:t>
      </w:r>
      <w:r w:rsidRPr="00556081">
        <w:rPr>
          <w:rStyle w:val="atitle"/>
          <w:b/>
          <w:sz w:val="28"/>
          <w:szCs w:val="28"/>
          <w:lang w:val="uk-UA"/>
        </w:rPr>
        <w:t>рік»:</w:t>
      </w:r>
    </w:p>
    <w:p w:rsidR="00921812" w:rsidRPr="00556081" w:rsidRDefault="00921812" w:rsidP="00921AC7">
      <w:pPr>
        <w:ind w:firstLine="426"/>
        <w:jc w:val="both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63550C">
        <w:rPr>
          <w:b/>
          <w:sz w:val="28"/>
          <w:szCs w:val="28"/>
        </w:rPr>
        <w:t>11.02.2016</w:t>
      </w:r>
      <w:r w:rsidRPr="00556081">
        <w:rPr>
          <w:b/>
          <w:sz w:val="28"/>
          <w:szCs w:val="28"/>
          <w:lang w:val="uk-UA"/>
        </w:rPr>
        <w:t xml:space="preserve"> по </w:t>
      </w:r>
      <w:r w:rsidR="0063550C" w:rsidRPr="0063550C">
        <w:rPr>
          <w:b/>
          <w:sz w:val="28"/>
          <w:szCs w:val="28"/>
        </w:rPr>
        <w:t>20</w:t>
      </w:r>
      <w:r w:rsidR="0063550C">
        <w:rPr>
          <w:b/>
          <w:sz w:val="28"/>
          <w:szCs w:val="28"/>
        </w:rPr>
        <w:t>.02.2016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63550C">
        <w:rPr>
          <w:b/>
          <w:bCs/>
          <w:sz w:val="28"/>
          <w:szCs w:val="28"/>
          <w:lang w:val="uk-UA"/>
        </w:rPr>
        <w:t>11.02.2016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63550C" w:rsidRPr="0063550C">
        <w:rPr>
          <w:b/>
          <w:bCs/>
          <w:sz w:val="28"/>
          <w:szCs w:val="28"/>
        </w:rPr>
        <w:t>20</w:t>
      </w:r>
      <w:r w:rsidR="0063550C">
        <w:rPr>
          <w:b/>
          <w:bCs/>
          <w:sz w:val="28"/>
          <w:szCs w:val="28"/>
          <w:lang w:val="uk-UA"/>
        </w:rPr>
        <w:t>.02.2016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63550C">
        <w:rPr>
          <w:sz w:val="28"/>
          <w:szCs w:val="28"/>
          <w:lang w:val="uk-UA"/>
        </w:rPr>
        <w:t>11.02.2016</w:t>
      </w:r>
      <w:r w:rsidRPr="000455F1">
        <w:rPr>
          <w:sz w:val="28"/>
          <w:szCs w:val="28"/>
          <w:lang w:val="uk-UA"/>
        </w:rPr>
        <w:t xml:space="preserve"> по </w:t>
      </w:r>
      <w:r w:rsidR="0063550C" w:rsidRPr="0063550C">
        <w:rPr>
          <w:sz w:val="28"/>
          <w:szCs w:val="28"/>
        </w:rPr>
        <w:t>20</w:t>
      </w:r>
      <w:r w:rsidR="0063550C">
        <w:rPr>
          <w:sz w:val="28"/>
          <w:szCs w:val="28"/>
          <w:lang w:val="uk-UA"/>
        </w:rPr>
        <w:t>.02.2016</w:t>
      </w:r>
      <w:r w:rsidRPr="000455F1">
        <w:rPr>
          <w:sz w:val="28"/>
          <w:szCs w:val="28"/>
          <w:lang w:val="uk-UA"/>
        </w:rPr>
        <w:t xml:space="preserve"> до Міністерства юстиції надійшло </w:t>
      </w:r>
      <w:r w:rsidR="0063550C" w:rsidRPr="00170A59">
        <w:rPr>
          <w:b/>
          <w:bCs/>
          <w:sz w:val="28"/>
          <w:szCs w:val="28"/>
        </w:rPr>
        <w:t>8</w:t>
      </w:r>
      <w:r w:rsidR="00170A59" w:rsidRPr="00170A59">
        <w:rPr>
          <w:b/>
          <w:bCs/>
          <w:sz w:val="28"/>
          <w:szCs w:val="28"/>
        </w:rPr>
        <w:t>5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proofErr w:type="spellStart"/>
      <w:r w:rsidR="009D4ADC" w:rsidRPr="009D4ADC">
        <w:rPr>
          <w:sz w:val="28"/>
          <w:szCs w:val="28"/>
        </w:rPr>
        <w:t>ів</w:t>
      </w:r>
      <w:proofErr w:type="spellEnd"/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170A59" w:rsidRPr="00170A59">
        <w:rPr>
          <w:b/>
          <w:sz w:val="28"/>
          <w:szCs w:val="28"/>
        </w:rPr>
        <w:t>47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6263B4" w:rsidRPr="006263B4">
        <w:rPr>
          <w:sz w:val="28"/>
          <w:szCs w:val="28"/>
        </w:rPr>
        <w:t>3</w:t>
      </w:r>
      <w:r w:rsidR="00170A59" w:rsidRPr="00170A59">
        <w:rPr>
          <w:sz w:val="28"/>
          <w:szCs w:val="28"/>
        </w:rPr>
        <w:t>1</w:t>
      </w:r>
      <w:r w:rsidRPr="000455F1">
        <w:rPr>
          <w:sz w:val="28"/>
          <w:szCs w:val="28"/>
          <w:lang w:val="uk-UA"/>
        </w:rPr>
        <w:t xml:space="preserve">, поштою – </w:t>
      </w:r>
      <w:r w:rsidR="00170A59" w:rsidRPr="00170A59">
        <w:rPr>
          <w:sz w:val="28"/>
          <w:szCs w:val="28"/>
        </w:rPr>
        <w:t>1</w:t>
      </w:r>
      <w:r w:rsidR="009D4ADC">
        <w:rPr>
          <w:sz w:val="28"/>
          <w:szCs w:val="28"/>
          <w:lang w:val="uk-UA"/>
        </w:rPr>
        <w:t>2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6263B4" w:rsidRPr="006263B4">
        <w:rPr>
          <w:sz w:val="28"/>
          <w:szCs w:val="28"/>
        </w:rPr>
        <w:t>2</w:t>
      </w:r>
      <w:r w:rsidR="000B08FA">
        <w:rPr>
          <w:sz w:val="28"/>
          <w:szCs w:val="28"/>
          <w:lang w:val="uk-UA"/>
        </w:rPr>
        <w:t xml:space="preserve">, телефоном </w:t>
      </w:r>
      <w:r w:rsidR="000B08FA" w:rsidRPr="000455F1">
        <w:rPr>
          <w:sz w:val="28"/>
          <w:szCs w:val="28"/>
          <w:lang w:val="uk-UA"/>
        </w:rPr>
        <w:t>–</w:t>
      </w:r>
      <w:r w:rsidR="000B08FA">
        <w:rPr>
          <w:sz w:val="28"/>
          <w:szCs w:val="28"/>
          <w:lang w:val="uk-UA"/>
        </w:rPr>
        <w:t xml:space="preserve"> </w:t>
      </w:r>
      <w:r w:rsidR="00170A59" w:rsidRPr="00170A59">
        <w:rPr>
          <w:sz w:val="28"/>
          <w:szCs w:val="28"/>
        </w:rPr>
        <w:t>2</w:t>
      </w:r>
      <w:r w:rsidRPr="000455F1">
        <w:rPr>
          <w:sz w:val="28"/>
          <w:szCs w:val="28"/>
          <w:lang w:val="uk-UA"/>
        </w:rPr>
        <w:t>);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6263B4" w:rsidRPr="006263B4">
        <w:rPr>
          <w:b/>
          <w:bCs/>
          <w:sz w:val="28"/>
          <w:szCs w:val="28"/>
        </w:rPr>
        <w:t>3</w:t>
      </w:r>
      <w:r w:rsidR="00315CF6" w:rsidRPr="00315CF6">
        <w:rPr>
          <w:b/>
          <w:bCs/>
          <w:sz w:val="28"/>
          <w:szCs w:val="28"/>
        </w:rPr>
        <w:t>8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315CF6" w:rsidRPr="00315CF6">
        <w:rPr>
          <w:sz w:val="28"/>
          <w:szCs w:val="28"/>
        </w:rPr>
        <w:t>23</w:t>
      </w:r>
      <w:r w:rsidRPr="000455F1">
        <w:rPr>
          <w:sz w:val="28"/>
          <w:szCs w:val="28"/>
          <w:lang w:val="uk-UA"/>
        </w:rPr>
        <w:t xml:space="preserve">, поштою – </w:t>
      </w:r>
      <w:r w:rsidR="000B08FA">
        <w:rPr>
          <w:sz w:val="28"/>
          <w:szCs w:val="28"/>
          <w:lang w:val="uk-UA"/>
        </w:rPr>
        <w:t>1</w:t>
      </w:r>
      <w:r w:rsidR="00315CF6" w:rsidRPr="00315CF6">
        <w:rPr>
          <w:sz w:val="28"/>
          <w:szCs w:val="28"/>
        </w:rPr>
        <w:t>3</w:t>
      </w:r>
      <w:r w:rsidR="00316897">
        <w:rPr>
          <w:sz w:val="28"/>
          <w:szCs w:val="28"/>
          <w:lang w:val="uk-UA"/>
        </w:rPr>
        <w:t>,</w:t>
      </w:r>
      <w:r w:rsidR="00316897" w:rsidRPr="00316897">
        <w:rPr>
          <w:sz w:val="28"/>
          <w:szCs w:val="28"/>
          <w:lang w:val="uk-UA"/>
        </w:rPr>
        <w:t xml:space="preserve"> </w:t>
      </w:r>
      <w:r w:rsidR="00316897" w:rsidRPr="000455F1">
        <w:rPr>
          <w:sz w:val="28"/>
          <w:szCs w:val="28"/>
          <w:lang w:val="uk-UA"/>
        </w:rPr>
        <w:t xml:space="preserve">на особистому прийомі – </w:t>
      </w:r>
      <w:r w:rsidR="009D4ADC">
        <w:rPr>
          <w:sz w:val="28"/>
          <w:szCs w:val="28"/>
          <w:lang w:val="uk-UA"/>
        </w:rPr>
        <w:t>2</w:t>
      </w:r>
      <w:r w:rsidRPr="000455F1">
        <w:rPr>
          <w:sz w:val="28"/>
          <w:szCs w:val="28"/>
          <w:lang w:val="uk-UA"/>
        </w:rPr>
        <w:t xml:space="preserve">). </w:t>
      </w:r>
    </w:p>
    <w:p w:rsidR="00921812" w:rsidRPr="000455F1" w:rsidRDefault="00921AC7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921AC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905500" cy="2476500"/>
            <wp:effectExtent l="19050" t="0" r="1905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</w:t>
      </w:r>
      <w:r w:rsidR="000B08FA">
        <w:rPr>
          <w:sz w:val="28"/>
          <w:szCs w:val="28"/>
          <w:lang w:val="uk-UA"/>
        </w:rPr>
        <w:t xml:space="preserve"> (</w:t>
      </w:r>
      <w:r w:rsidR="00EB03F0" w:rsidRPr="00EB03F0">
        <w:rPr>
          <w:b/>
          <w:sz w:val="28"/>
          <w:szCs w:val="28"/>
          <w:lang w:val="uk-UA"/>
        </w:rPr>
        <w:t>25</w:t>
      </w:r>
      <w:r w:rsidR="000B08FA">
        <w:rPr>
          <w:sz w:val="28"/>
          <w:szCs w:val="28"/>
          <w:lang w:val="uk-UA"/>
        </w:rPr>
        <w:t xml:space="preserve"> запит</w:t>
      </w:r>
      <w:r w:rsidR="006263B4" w:rsidRPr="006263B4">
        <w:rPr>
          <w:sz w:val="28"/>
          <w:szCs w:val="28"/>
          <w:lang w:val="uk-UA"/>
        </w:rPr>
        <w:t>ів</w:t>
      </w:r>
      <w:r w:rsidR="000B08FA">
        <w:rPr>
          <w:sz w:val="28"/>
          <w:szCs w:val="28"/>
          <w:lang w:val="uk-UA"/>
        </w:rPr>
        <w:t>)</w:t>
      </w:r>
      <w:r w:rsidR="00EB03F0">
        <w:rPr>
          <w:sz w:val="28"/>
          <w:szCs w:val="28"/>
          <w:lang w:val="uk-UA"/>
        </w:rPr>
        <w:t xml:space="preserve">, Дніпропетровської, Київської </w:t>
      </w:r>
      <w:r w:rsidRPr="00556081">
        <w:rPr>
          <w:sz w:val="28"/>
          <w:szCs w:val="28"/>
          <w:lang w:val="uk-UA"/>
        </w:rPr>
        <w:t xml:space="preserve">та </w:t>
      </w:r>
      <w:r w:rsidR="00EB03F0">
        <w:rPr>
          <w:sz w:val="28"/>
          <w:szCs w:val="28"/>
          <w:lang w:val="uk-UA"/>
        </w:rPr>
        <w:t>Льві</w:t>
      </w:r>
      <w:r w:rsidR="006263B4">
        <w:rPr>
          <w:sz w:val="28"/>
          <w:szCs w:val="28"/>
          <w:lang w:val="uk-UA"/>
        </w:rPr>
        <w:t>в</w:t>
      </w:r>
      <w:r w:rsidR="00316897">
        <w:rPr>
          <w:sz w:val="28"/>
          <w:szCs w:val="28"/>
          <w:lang w:val="uk-UA"/>
        </w:rPr>
        <w:t>ської</w:t>
      </w:r>
      <w:r w:rsidRPr="00556081">
        <w:rPr>
          <w:sz w:val="28"/>
          <w:szCs w:val="28"/>
          <w:lang w:val="uk-UA"/>
        </w:rPr>
        <w:t xml:space="preserve"> област</w:t>
      </w:r>
      <w:r w:rsidR="00EB03F0">
        <w:rPr>
          <w:sz w:val="28"/>
          <w:szCs w:val="28"/>
          <w:lang w:val="uk-UA"/>
        </w:rPr>
        <w:t>ей</w:t>
      </w:r>
      <w:r w:rsidRPr="00556081">
        <w:rPr>
          <w:sz w:val="28"/>
          <w:szCs w:val="28"/>
          <w:lang w:val="uk-UA"/>
        </w:rPr>
        <w:t xml:space="preserve"> (</w:t>
      </w:r>
      <w:r w:rsidR="00EB03F0">
        <w:rPr>
          <w:sz w:val="28"/>
          <w:szCs w:val="28"/>
          <w:lang w:val="uk-UA"/>
        </w:rPr>
        <w:t xml:space="preserve">по </w:t>
      </w:r>
      <w:r w:rsidR="00EB03F0" w:rsidRPr="00EB03F0">
        <w:rPr>
          <w:b/>
          <w:sz w:val="28"/>
          <w:szCs w:val="28"/>
          <w:lang w:val="uk-UA"/>
        </w:rPr>
        <w:t>6</w:t>
      </w:r>
      <w:r w:rsidRPr="00556081">
        <w:rPr>
          <w:sz w:val="28"/>
          <w:szCs w:val="28"/>
          <w:lang w:val="uk-UA"/>
        </w:rPr>
        <w:t xml:space="preserve"> запитів). </w:t>
      </w:r>
    </w:p>
    <w:p w:rsidR="00ED6427" w:rsidRPr="00556081" w:rsidRDefault="00ED6427" w:rsidP="00ED6427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496A58" w:rsidRPr="00EE563E" w:rsidRDefault="00496A58" w:rsidP="00496A58">
      <w:pPr>
        <w:tabs>
          <w:tab w:val="center" w:pos="7639"/>
        </w:tabs>
        <w:spacing w:before="240"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Pr="00653841">
        <w:rPr>
          <w:sz w:val="28"/>
          <w:lang w:val="uk-UA"/>
        </w:rPr>
        <w:t xml:space="preserve">ількість </w:t>
      </w:r>
      <w:r>
        <w:rPr>
          <w:sz w:val="28"/>
          <w:lang w:val="uk-UA"/>
        </w:rPr>
        <w:t>запитів про видачу (екстрадицію) підсудних, засуджених у кримінальних провадженнях під час судового провадження або виконання вироку, які направлялись або були отримані Міністерством юстиції України у 2015 році;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звернень від фізичних і юридичних осіб та об</w:t>
      </w:r>
      <w:r w:rsidRPr="0053734A">
        <w:rPr>
          <w:sz w:val="28"/>
          <w:lang w:val="uk-UA"/>
        </w:rPr>
        <w:t>’</w:t>
      </w:r>
      <w:r>
        <w:rPr>
          <w:sz w:val="28"/>
          <w:lang w:val="uk-UA"/>
        </w:rPr>
        <w:t>єднань громадян без статусу юридичної особи стосовно дій суддів та неправосудних, на думку авторів, судових рішень, в тому числі звернень, які були в установленому порядку надіслані за належністю до Міністерства юстиції від Кабінету Міністрів України;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утворення Апеляційного суду Дніпропетровської області м. Кривого Рогу;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підтвердження всеукраїнського статусу громадського об</w:t>
      </w:r>
      <w:r w:rsidRPr="00FC2166">
        <w:rPr>
          <w:sz w:val="28"/>
        </w:rPr>
        <w:t>’</w:t>
      </w:r>
      <w:r>
        <w:rPr>
          <w:sz w:val="28"/>
          <w:lang w:val="uk-UA"/>
        </w:rPr>
        <w:t xml:space="preserve">єднання «Федерація українського </w:t>
      </w:r>
      <w:proofErr w:type="spellStart"/>
      <w:r>
        <w:rPr>
          <w:sz w:val="28"/>
          <w:lang w:val="uk-UA"/>
        </w:rPr>
        <w:t>рукопашу</w:t>
      </w:r>
      <w:proofErr w:type="spellEnd"/>
      <w:r>
        <w:rPr>
          <w:sz w:val="28"/>
          <w:lang w:val="uk-UA"/>
        </w:rPr>
        <w:t xml:space="preserve"> гопак»;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суму виплачених коштів на виконання рішень Європейського суду з прав людини та національних судів за бюджетною програмою 3601170 «Платежі на виконання рішень закордонних юрисдикційних органів, прийнятих за наслідками розгляду справ проти України»;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формування комісії з проведення конкурсу на зайняття посад Директора Державного бюро розслідувань, його заступників, директорів територіальних органів та керівників підрозділів центрального апарату;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відрядження Міністра юстиції  Петренка Павла Дмитровича;</w:t>
      </w:r>
    </w:p>
    <w:p w:rsidR="00496A58" w:rsidRPr="00653841" w:rsidRDefault="00496A58" w:rsidP="00496A5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конкурс на заміщення вакантної посади заступника начальника головного територіального управління юстиції з питань державної виконавчої служби – начальника Управління державної виконавчої служби </w:t>
      </w:r>
      <w:r w:rsidRPr="00653841">
        <w:rPr>
          <w:sz w:val="28"/>
          <w:lang w:val="uk-UA"/>
        </w:rPr>
        <w:t>Головного територіального управління юстиції у місті Києві</w:t>
      </w:r>
      <w:r w:rsidRPr="00653841">
        <w:rPr>
          <w:sz w:val="28"/>
        </w:rPr>
        <w:t>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правовий статус Мінських угод;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рішень Європейського суду з прав людини проти України, у яких присуджено виплату відшкодування;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звернень Міністерства юстиції України з позовами до суду про відшкодування збитків, завданих Державному бюджету України внаслідок виплати відшкодування за рішеннями Європейського суду;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загальну суму виплачених коштів по рішенням Європейського суду проти України</w:t>
      </w:r>
      <w:r w:rsidRPr="00DF3CA0">
        <w:rPr>
          <w:sz w:val="28"/>
        </w:rPr>
        <w:t xml:space="preserve"> (</w:t>
      </w:r>
      <w:r>
        <w:rPr>
          <w:sz w:val="28"/>
          <w:lang w:val="uk-UA"/>
        </w:rPr>
        <w:t>щорічно</w:t>
      </w:r>
      <w:r w:rsidRPr="00DF3CA0">
        <w:rPr>
          <w:sz w:val="28"/>
        </w:rPr>
        <w:t>)</w:t>
      </w:r>
      <w:r>
        <w:rPr>
          <w:sz w:val="28"/>
          <w:lang w:val="uk-UA"/>
        </w:rPr>
        <w:t>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загальну суму заборгованості по виплатам коштів по рішенням Європейського суду проти України;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рішень проти України, винесених Європейським судом з прав людини, в яких встановлено порушення підпункту «с» пункту 3 статті 6 Конвенції про захист прав людини і основоположних свобод в період за листопад-грудень 2015 року, їх тексти та реквізити;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справ проти України, які були на розгляді у Європейського суду за період з 1997 по 2015 роки включно;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штатну чисельність працівників апарату Міністерства юстиції України станом на 01 січня 2013 року, 01 січня 2014 року та 01 січня 2015 року;</w:t>
      </w:r>
    </w:p>
    <w:p w:rsidR="00496A58" w:rsidRPr="00947E98" w:rsidRDefault="00496A58" w:rsidP="00496A58">
      <w:pPr>
        <w:spacing w:after="120"/>
        <w:ind w:left="426"/>
        <w:jc w:val="both"/>
        <w:rPr>
          <w:b/>
          <w:sz w:val="28"/>
          <w:szCs w:val="28"/>
          <w:lang w:val="uk-UA"/>
        </w:rPr>
      </w:pPr>
    </w:p>
    <w:p w:rsidR="00496A58" w:rsidRDefault="00496A58" w:rsidP="00496A58">
      <w:pPr>
        <w:spacing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документ</w:t>
      </w:r>
      <w:r>
        <w:rPr>
          <w:b/>
          <w:sz w:val="28"/>
          <w:szCs w:val="28"/>
          <w:lang w:val="en-US"/>
        </w:rPr>
        <w:t>и</w:t>
      </w:r>
      <w:r w:rsidRPr="00EE563E">
        <w:rPr>
          <w:b/>
          <w:sz w:val="28"/>
          <w:szCs w:val="28"/>
          <w:lang w:val="uk-UA"/>
        </w:rPr>
        <w:t>:</w:t>
      </w:r>
    </w:p>
    <w:p w:rsidR="00496A58" w:rsidRDefault="00496A58" w:rsidP="00496A58">
      <w:pPr>
        <w:spacing w:after="120"/>
        <w:ind w:firstLine="426"/>
        <w:jc w:val="both"/>
        <w:rPr>
          <w:b/>
          <w:sz w:val="28"/>
          <w:szCs w:val="28"/>
          <w:lang w:val="uk-UA"/>
        </w:rPr>
      </w:pP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 xml:space="preserve">декларація про майно, доходи, витрати і зобов’язання фінансового характеру за 2014 рік першого заступника Міністра юстиції України </w:t>
      </w:r>
      <w:proofErr w:type="spellStart"/>
      <w:r>
        <w:rPr>
          <w:rFonts w:cstheme="minorBidi"/>
          <w:sz w:val="28"/>
          <w:lang w:val="uk-UA"/>
        </w:rPr>
        <w:t>Севостьянової</w:t>
      </w:r>
      <w:proofErr w:type="spellEnd"/>
      <w:r>
        <w:rPr>
          <w:rFonts w:cstheme="minorBidi"/>
          <w:sz w:val="28"/>
          <w:lang w:val="uk-UA"/>
        </w:rPr>
        <w:t xml:space="preserve"> Наталії Іларіонівни;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декларація про майно, доходи, витрати і зобов’язання фінансового характеру за 2014 рік заступника Міністра юстиції України – керівника апарату Іванченко Оксани Павлівни;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 xml:space="preserve">декларація про майно, доходи, витрати і зобов’язання фінансового характеру за 2014 рік заступника Міністра юстиції України </w:t>
      </w:r>
      <w:proofErr w:type="spellStart"/>
      <w:r>
        <w:rPr>
          <w:rFonts w:cstheme="minorBidi"/>
          <w:sz w:val="28"/>
          <w:lang w:val="uk-UA"/>
        </w:rPr>
        <w:t>Янчука</w:t>
      </w:r>
      <w:proofErr w:type="spellEnd"/>
      <w:r>
        <w:rPr>
          <w:rFonts w:cstheme="minorBidi"/>
          <w:sz w:val="28"/>
          <w:lang w:val="uk-UA"/>
        </w:rPr>
        <w:t xml:space="preserve"> Антона Володимировича;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lastRenderedPageBreak/>
        <w:t>декларація про майно, доходи, витрати і зобов’язання фінансового характеру за 2015 рік заступника Міністра юстиції України з питань державної реєстрації Мороза Павла Олександровича;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витяг з Реєстру атестованих судових експертів про особу судового експерта;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акт позапланової невиїзної перевірки діяльності арбітражного керуючого;</w:t>
      </w:r>
    </w:p>
    <w:p w:rsidR="00496A58" w:rsidRDefault="00496A58" w:rsidP="00496A58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звіт про роботу державних та приватних нотаріусів за 2015 рік;</w:t>
      </w:r>
    </w:p>
    <w:p w:rsidR="00496A58" w:rsidRPr="00FC2166" w:rsidRDefault="00496A58" w:rsidP="00496A58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перелік запитів народних депутатів України, що надійшли до Міністерства юстиції України в період з 03 грудня 2014 року по 01 лютого 2016 року.</w:t>
      </w:r>
    </w:p>
    <w:p w:rsidR="00921812" w:rsidRPr="00D044F3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D044F3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0794D" w:rsidRPr="00D044F3" w:rsidRDefault="0050794D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</w:p>
    <w:p w:rsidR="00D54AB7" w:rsidRPr="00BD17A2" w:rsidRDefault="00A65C5A" w:rsidP="00BD17A2">
      <w:pPr>
        <w:pStyle w:val="a6"/>
        <w:spacing w:before="120" w:after="240"/>
        <w:ind w:left="0" w:firstLine="426"/>
        <w:jc w:val="both"/>
        <w:rPr>
          <w:color w:val="FF0000"/>
          <w:sz w:val="28"/>
          <w:szCs w:val="28"/>
          <w:lang w:val="uk-UA" w:eastAsia="uk-UA"/>
        </w:rPr>
      </w:pPr>
      <w:r w:rsidRPr="00D044F3">
        <w:rPr>
          <w:sz w:val="28"/>
          <w:szCs w:val="28"/>
          <w:lang w:val="uk-UA" w:eastAsia="uk-UA"/>
        </w:rPr>
        <w:t>Департаменту державної реєстрації (</w:t>
      </w:r>
      <w:r>
        <w:rPr>
          <w:b/>
          <w:sz w:val="28"/>
          <w:szCs w:val="28"/>
          <w:lang w:val="uk-UA" w:eastAsia="uk-UA"/>
        </w:rPr>
        <w:t>1</w:t>
      </w:r>
      <w:r w:rsidR="00721204">
        <w:rPr>
          <w:b/>
          <w:sz w:val="28"/>
          <w:szCs w:val="28"/>
          <w:lang w:val="uk-UA" w:eastAsia="uk-UA"/>
        </w:rPr>
        <w:t>7</w:t>
      </w:r>
      <w:r w:rsidRPr="00D044F3">
        <w:rPr>
          <w:sz w:val="28"/>
          <w:szCs w:val="28"/>
          <w:lang w:val="uk-UA" w:eastAsia="uk-UA"/>
        </w:rPr>
        <w:t xml:space="preserve"> запитів або </w:t>
      </w:r>
      <w:r w:rsidR="00721204">
        <w:rPr>
          <w:b/>
          <w:sz w:val="28"/>
          <w:szCs w:val="28"/>
          <w:lang w:val="uk-UA" w:eastAsia="uk-UA"/>
        </w:rPr>
        <w:t>20</w:t>
      </w:r>
      <w:r w:rsidRPr="00D044F3">
        <w:rPr>
          <w:b/>
          <w:sz w:val="28"/>
          <w:szCs w:val="28"/>
          <w:lang w:val="uk-UA" w:eastAsia="uk-UA"/>
        </w:rPr>
        <w:t>%</w:t>
      </w:r>
      <w:r w:rsidRPr="00D044F3">
        <w:rPr>
          <w:sz w:val="28"/>
          <w:szCs w:val="28"/>
          <w:lang w:val="uk-UA" w:eastAsia="uk-UA"/>
        </w:rPr>
        <w:t>),</w:t>
      </w:r>
      <w:r w:rsidRPr="00F53DC5">
        <w:rPr>
          <w:color w:val="FF0000"/>
          <w:sz w:val="28"/>
          <w:szCs w:val="28"/>
          <w:lang w:val="uk-UA" w:eastAsia="uk-UA"/>
        </w:rPr>
        <w:t xml:space="preserve"> </w:t>
      </w:r>
      <w:r w:rsidR="00721204">
        <w:rPr>
          <w:sz w:val="28"/>
          <w:szCs w:val="28"/>
          <w:lang w:val="uk-UA" w:eastAsia="uk-UA"/>
        </w:rPr>
        <w:t xml:space="preserve">Департаменту </w:t>
      </w:r>
      <w:r w:rsidR="00721204" w:rsidRPr="00D044F3">
        <w:rPr>
          <w:sz w:val="28"/>
          <w:szCs w:val="28"/>
          <w:lang w:val="uk-UA" w:eastAsia="uk-UA"/>
        </w:rPr>
        <w:t>з питань судової роботи та банкрутства</w:t>
      </w:r>
      <w:r w:rsidR="00721204">
        <w:rPr>
          <w:sz w:val="28"/>
          <w:szCs w:val="28"/>
          <w:lang w:val="uk-UA" w:eastAsia="uk-UA"/>
        </w:rPr>
        <w:t xml:space="preserve"> (</w:t>
      </w:r>
      <w:r w:rsidR="00721204" w:rsidRPr="00721204">
        <w:rPr>
          <w:b/>
          <w:sz w:val="28"/>
          <w:szCs w:val="28"/>
          <w:lang w:val="uk-UA" w:eastAsia="uk-UA"/>
        </w:rPr>
        <w:t>11</w:t>
      </w:r>
      <w:r w:rsidR="00721204">
        <w:rPr>
          <w:sz w:val="28"/>
          <w:szCs w:val="28"/>
          <w:lang w:val="uk-UA" w:eastAsia="uk-UA"/>
        </w:rPr>
        <w:t xml:space="preserve"> запитів або </w:t>
      </w:r>
      <w:r w:rsidR="00721204" w:rsidRPr="00721204">
        <w:rPr>
          <w:b/>
          <w:sz w:val="28"/>
          <w:szCs w:val="28"/>
          <w:lang w:val="uk-UA" w:eastAsia="uk-UA"/>
        </w:rPr>
        <w:t>12,9%</w:t>
      </w:r>
      <w:r w:rsidR="00721204">
        <w:rPr>
          <w:sz w:val="28"/>
          <w:szCs w:val="28"/>
          <w:lang w:val="uk-UA" w:eastAsia="uk-UA"/>
        </w:rPr>
        <w:t xml:space="preserve">), </w:t>
      </w:r>
      <w:r w:rsidR="00721204" w:rsidRPr="00D044F3">
        <w:rPr>
          <w:sz w:val="28"/>
          <w:szCs w:val="28"/>
          <w:lang w:val="uk-UA" w:eastAsia="uk-UA"/>
        </w:rPr>
        <w:t>Департаменту кадрової роботи та державної служби</w:t>
      </w:r>
      <w:r w:rsidR="00721204">
        <w:rPr>
          <w:sz w:val="28"/>
          <w:szCs w:val="28"/>
          <w:lang w:val="uk-UA" w:eastAsia="uk-UA"/>
        </w:rPr>
        <w:t xml:space="preserve"> (</w:t>
      </w:r>
      <w:r w:rsidR="00721204" w:rsidRPr="00721204">
        <w:rPr>
          <w:b/>
          <w:sz w:val="28"/>
          <w:szCs w:val="28"/>
          <w:lang w:val="uk-UA" w:eastAsia="uk-UA"/>
        </w:rPr>
        <w:t>10</w:t>
      </w:r>
      <w:r w:rsidR="00721204">
        <w:rPr>
          <w:sz w:val="28"/>
          <w:szCs w:val="28"/>
          <w:lang w:val="uk-UA" w:eastAsia="uk-UA"/>
        </w:rPr>
        <w:t xml:space="preserve"> запитів або </w:t>
      </w:r>
      <w:r w:rsidR="00721204" w:rsidRPr="00721204">
        <w:rPr>
          <w:b/>
          <w:sz w:val="28"/>
          <w:szCs w:val="28"/>
          <w:lang w:val="uk-UA" w:eastAsia="uk-UA"/>
        </w:rPr>
        <w:t>11,8%</w:t>
      </w:r>
      <w:r w:rsidR="00721204">
        <w:rPr>
          <w:sz w:val="28"/>
          <w:szCs w:val="28"/>
          <w:lang w:val="uk-UA" w:eastAsia="uk-UA"/>
        </w:rPr>
        <w:t>),</w:t>
      </w:r>
      <w:r w:rsidR="00721204" w:rsidRPr="00721204">
        <w:rPr>
          <w:sz w:val="28"/>
          <w:szCs w:val="28"/>
          <w:lang w:val="uk-UA" w:eastAsia="uk-UA"/>
        </w:rPr>
        <w:t xml:space="preserve"> </w:t>
      </w:r>
      <w:r w:rsidR="00721204" w:rsidRPr="00D044F3">
        <w:rPr>
          <w:sz w:val="28"/>
          <w:szCs w:val="28"/>
          <w:lang w:val="uk-UA" w:eastAsia="uk-UA"/>
        </w:rPr>
        <w:t>Департаменту організаційного забезпечення та контролю (</w:t>
      </w:r>
      <w:r w:rsidR="00721204">
        <w:rPr>
          <w:b/>
          <w:sz w:val="28"/>
          <w:szCs w:val="28"/>
          <w:lang w:val="uk-UA" w:eastAsia="uk-UA"/>
        </w:rPr>
        <w:t>6</w:t>
      </w:r>
      <w:r w:rsidR="00721204" w:rsidRPr="00D044F3">
        <w:rPr>
          <w:b/>
          <w:sz w:val="28"/>
          <w:szCs w:val="28"/>
          <w:lang w:val="uk-UA" w:eastAsia="uk-UA"/>
        </w:rPr>
        <w:t xml:space="preserve"> </w:t>
      </w:r>
      <w:r w:rsidR="00721204" w:rsidRPr="00D044F3">
        <w:rPr>
          <w:sz w:val="28"/>
          <w:szCs w:val="28"/>
          <w:lang w:val="uk-UA" w:eastAsia="uk-UA"/>
        </w:rPr>
        <w:t>запит</w:t>
      </w:r>
      <w:r w:rsidR="00721204">
        <w:rPr>
          <w:sz w:val="28"/>
          <w:szCs w:val="28"/>
          <w:lang w:val="uk-UA" w:eastAsia="uk-UA"/>
        </w:rPr>
        <w:t>ів</w:t>
      </w:r>
      <w:r w:rsidR="00721204" w:rsidRPr="00D044F3">
        <w:rPr>
          <w:sz w:val="28"/>
          <w:szCs w:val="28"/>
          <w:lang w:val="uk-UA" w:eastAsia="uk-UA"/>
        </w:rPr>
        <w:t xml:space="preserve"> або </w:t>
      </w:r>
      <w:r w:rsidR="00721204">
        <w:rPr>
          <w:b/>
          <w:sz w:val="28"/>
          <w:szCs w:val="28"/>
          <w:lang w:val="uk-UA" w:eastAsia="uk-UA"/>
        </w:rPr>
        <w:t>7</w:t>
      </w:r>
      <w:r w:rsidR="00721204" w:rsidRPr="00D044F3">
        <w:rPr>
          <w:b/>
          <w:sz w:val="28"/>
          <w:szCs w:val="28"/>
          <w:lang w:val="uk-UA" w:eastAsia="uk-UA"/>
        </w:rPr>
        <w:t>,</w:t>
      </w:r>
      <w:r w:rsidR="00721204">
        <w:rPr>
          <w:b/>
          <w:sz w:val="28"/>
          <w:szCs w:val="28"/>
          <w:lang w:val="uk-UA" w:eastAsia="uk-UA"/>
        </w:rPr>
        <w:t>1</w:t>
      </w:r>
      <w:r w:rsidR="00721204" w:rsidRPr="00D044F3">
        <w:rPr>
          <w:b/>
          <w:sz w:val="28"/>
          <w:szCs w:val="28"/>
          <w:lang w:val="uk-UA" w:eastAsia="uk-UA"/>
        </w:rPr>
        <w:t>%</w:t>
      </w:r>
      <w:r w:rsidR="00721204" w:rsidRPr="00D044F3">
        <w:rPr>
          <w:sz w:val="28"/>
          <w:szCs w:val="28"/>
          <w:lang w:val="uk-UA" w:eastAsia="uk-UA"/>
        </w:rPr>
        <w:t>, всі запити надіслано за належністю до інших розпорядників інформації)</w:t>
      </w:r>
      <w:r w:rsidR="00721204">
        <w:rPr>
          <w:sz w:val="28"/>
          <w:szCs w:val="28"/>
          <w:lang w:val="uk-UA" w:eastAsia="uk-UA"/>
        </w:rPr>
        <w:t>,</w:t>
      </w:r>
      <w:r w:rsidR="00721204" w:rsidRPr="00721204">
        <w:rPr>
          <w:sz w:val="28"/>
          <w:szCs w:val="28"/>
          <w:lang w:val="uk-UA" w:eastAsia="uk-UA"/>
        </w:rPr>
        <w:t xml:space="preserve"> </w:t>
      </w:r>
      <w:r w:rsidR="00721204" w:rsidRPr="00D044F3">
        <w:rPr>
          <w:sz w:val="28"/>
          <w:szCs w:val="28"/>
          <w:lang w:val="uk-UA" w:eastAsia="uk-UA"/>
        </w:rPr>
        <w:t>Департаменту цивільного, фінансового законодавства та законодавства з питань земельних відносин</w:t>
      </w:r>
      <w:r w:rsidR="00721204">
        <w:rPr>
          <w:sz w:val="28"/>
          <w:szCs w:val="28"/>
          <w:lang w:val="uk-UA" w:eastAsia="uk-UA"/>
        </w:rPr>
        <w:t xml:space="preserve"> (</w:t>
      </w:r>
      <w:r w:rsidR="00721204">
        <w:rPr>
          <w:b/>
          <w:sz w:val="28"/>
          <w:szCs w:val="28"/>
          <w:lang w:val="uk-UA" w:eastAsia="uk-UA"/>
        </w:rPr>
        <w:t>6</w:t>
      </w:r>
      <w:r w:rsidR="00721204">
        <w:rPr>
          <w:sz w:val="28"/>
          <w:szCs w:val="28"/>
          <w:lang w:val="uk-UA" w:eastAsia="uk-UA"/>
        </w:rPr>
        <w:t xml:space="preserve"> запитів або </w:t>
      </w:r>
      <w:r w:rsidR="00721204">
        <w:rPr>
          <w:b/>
          <w:sz w:val="28"/>
          <w:szCs w:val="28"/>
          <w:lang w:val="uk-UA" w:eastAsia="uk-UA"/>
        </w:rPr>
        <w:t>7</w:t>
      </w:r>
      <w:r w:rsidR="00721204" w:rsidRPr="00A65C5A">
        <w:rPr>
          <w:b/>
          <w:sz w:val="28"/>
          <w:szCs w:val="28"/>
          <w:lang w:val="uk-UA" w:eastAsia="uk-UA"/>
        </w:rPr>
        <w:t>,</w:t>
      </w:r>
      <w:r w:rsidR="00721204">
        <w:rPr>
          <w:b/>
          <w:sz w:val="28"/>
          <w:szCs w:val="28"/>
          <w:lang w:val="uk-UA" w:eastAsia="uk-UA"/>
        </w:rPr>
        <w:t>1</w:t>
      </w:r>
      <w:r w:rsidR="00721204" w:rsidRPr="00A65C5A">
        <w:rPr>
          <w:b/>
          <w:sz w:val="28"/>
          <w:szCs w:val="28"/>
          <w:lang w:val="uk-UA" w:eastAsia="uk-UA"/>
        </w:rPr>
        <w:t>%</w:t>
      </w:r>
      <w:r w:rsidR="00721204">
        <w:rPr>
          <w:sz w:val="28"/>
          <w:szCs w:val="28"/>
          <w:lang w:val="uk-UA" w:eastAsia="uk-UA"/>
        </w:rPr>
        <w:t xml:space="preserve">),  </w:t>
      </w:r>
      <w:r w:rsidR="00721204" w:rsidRPr="00D044F3">
        <w:rPr>
          <w:sz w:val="28"/>
          <w:szCs w:val="28"/>
          <w:lang w:val="uk-UA" w:eastAsia="uk-UA"/>
        </w:rPr>
        <w:t>Департаменту реєстрації та систематизації нормативних ак</w:t>
      </w:r>
      <w:r w:rsidR="00721204">
        <w:rPr>
          <w:sz w:val="28"/>
          <w:szCs w:val="28"/>
          <w:lang w:val="uk-UA" w:eastAsia="uk-UA"/>
        </w:rPr>
        <w:t xml:space="preserve">тів, </w:t>
      </w:r>
      <w:proofErr w:type="spellStart"/>
      <w:r w:rsidR="00721204">
        <w:rPr>
          <w:sz w:val="28"/>
          <w:szCs w:val="28"/>
          <w:lang w:val="uk-UA" w:eastAsia="uk-UA"/>
        </w:rPr>
        <w:t>правоосвітньої</w:t>
      </w:r>
      <w:proofErr w:type="spellEnd"/>
      <w:r w:rsidR="00721204">
        <w:rPr>
          <w:sz w:val="28"/>
          <w:szCs w:val="28"/>
          <w:lang w:val="uk-UA" w:eastAsia="uk-UA"/>
        </w:rPr>
        <w:t xml:space="preserve"> діяльності, </w:t>
      </w:r>
      <w:r w:rsidR="00721204" w:rsidRPr="00D044F3">
        <w:rPr>
          <w:sz w:val="28"/>
          <w:szCs w:val="28"/>
          <w:lang w:val="uk-UA" w:eastAsia="uk-UA"/>
        </w:rPr>
        <w:t>Департаменту державної виконавчої служби</w:t>
      </w:r>
      <w:r w:rsidR="00721204">
        <w:rPr>
          <w:sz w:val="28"/>
          <w:szCs w:val="28"/>
          <w:lang w:val="uk-UA" w:eastAsia="uk-UA"/>
        </w:rPr>
        <w:t xml:space="preserve">, </w:t>
      </w:r>
      <w:r w:rsidR="00721204" w:rsidRPr="00D044F3">
        <w:rPr>
          <w:sz w:val="28"/>
          <w:szCs w:val="28"/>
          <w:lang w:val="uk-UA" w:eastAsia="uk-UA"/>
        </w:rPr>
        <w:t>Департаменту з питань нотаріату</w:t>
      </w:r>
      <w:r w:rsidR="00721204">
        <w:rPr>
          <w:sz w:val="28"/>
          <w:szCs w:val="28"/>
          <w:lang w:val="uk-UA" w:eastAsia="uk-UA"/>
        </w:rPr>
        <w:t xml:space="preserve">, Департаменту міжнародного права (по </w:t>
      </w:r>
      <w:r w:rsidR="00721204" w:rsidRPr="00721204">
        <w:rPr>
          <w:b/>
          <w:sz w:val="28"/>
          <w:szCs w:val="28"/>
          <w:lang w:val="uk-UA" w:eastAsia="uk-UA"/>
        </w:rPr>
        <w:t>5</w:t>
      </w:r>
      <w:r w:rsidR="00721204">
        <w:rPr>
          <w:sz w:val="28"/>
          <w:szCs w:val="28"/>
          <w:lang w:val="uk-UA" w:eastAsia="uk-UA"/>
        </w:rPr>
        <w:t xml:space="preserve"> запитів або по </w:t>
      </w:r>
      <w:r w:rsidR="00721204" w:rsidRPr="00721204">
        <w:rPr>
          <w:b/>
          <w:sz w:val="28"/>
          <w:szCs w:val="28"/>
          <w:lang w:val="uk-UA" w:eastAsia="uk-UA"/>
        </w:rPr>
        <w:t>5,9%</w:t>
      </w:r>
      <w:r w:rsidR="00721204">
        <w:rPr>
          <w:sz w:val="28"/>
          <w:szCs w:val="28"/>
          <w:lang w:val="uk-UA" w:eastAsia="uk-UA"/>
        </w:rPr>
        <w:t xml:space="preserve">), </w:t>
      </w:r>
      <w:r w:rsidR="00721204" w:rsidRPr="002C70E9">
        <w:rPr>
          <w:sz w:val="28"/>
          <w:szCs w:val="28"/>
          <w:lang w:val="uk-UA" w:eastAsia="uk-UA"/>
        </w:rPr>
        <w:t>Департаменту конституційного, адміністративного та соціального законодавства</w:t>
      </w:r>
      <w:r w:rsidR="00BD17A2">
        <w:rPr>
          <w:sz w:val="28"/>
          <w:szCs w:val="28"/>
          <w:lang w:val="uk-UA" w:eastAsia="uk-UA"/>
        </w:rPr>
        <w:t xml:space="preserve"> (</w:t>
      </w:r>
      <w:r w:rsidR="00BD17A2" w:rsidRPr="00BD17A2">
        <w:rPr>
          <w:b/>
          <w:sz w:val="28"/>
          <w:szCs w:val="28"/>
          <w:lang w:val="uk-UA" w:eastAsia="uk-UA"/>
        </w:rPr>
        <w:t>4</w:t>
      </w:r>
      <w:r w:rsidR="00BD17A2">
        <w:rPr>
          <w:sz w:val="28"/>
          <w:szCs w:val="28"/>
          <w:lang w:val="uk-UA" w:eastAsia="uk-UA"/>
        </w:rPr>
        <w:t xml:space="preserve"> запити або </w:t>
      </w:r>
      <w:r w:rsidR="00BD17A2" w:rsidRPr="00BD17A2">
        <w:rPr>
          <w:b/>
          <w:sz w:val="28"/>
          <w:szCs w:val="28"/>
          <w:lang w:val="uk-UA" w:eastAsia="uk-UA"/>
        </w:rPr>
        <w:t>4,6%</w:t>
      </w:r>
      <w:r w:rsidR="00BD17A2" w:rsidRPr="00BD17A2">
        <w:rPr>
          <w:sz w:val="28"/>
          <w:szCs w:val="28"/>
          <w:lang w:val="uk-UA" w:eastAsia="uk-UA"/>
        </w:rPr>
        <w:t>)</w:t>
      </w:r>
      <w:r w:rsidR="00BD17A2">
        <w:rPr>
          <w:sz w:val="28"/>
          <w:szCs w:val="28"/>
          <w:lang w:val="uk-UA" w:eastAsia="uk-UA"/>
        </w:rPr>
        <w:t xml:space="preserve">, </w:t>
      </w:r>
      <w:r w:rsidR="00D54AB7">
        <w:rPr>
          <w:sz w:val="28"/>
          <w:szCs w:val="28"/>
          <w:lang w:val="uk-UA" w:eastAsia="uk-UA"/>
        </w:rPr>
        <w:t>Департаменту антикорупційного законодавства та з питань юстиції і безпеки</w:t>
      </w:r>
      <w:r w:rsidR="00BD17A2">
        <w:rPr>
          <w:sz w:val="28"/>
          <w:szCs w:val="28"/>
          <w:lang w:val="uk-UA" w:eastAsia="uk-UA"/>
        </w:rPr>
        <w:t>,</w:t>
      </w:r>
      <w:r w:rsidR="00BD17A2" w:rsidRPr="00BD17A2">
        <w:rPr>
          <w:sz w:val="28"/>
          <w:szCs w:val="28"/>
          <w:lang w:val="uk-UA" w:eastAsia="uk-UA"/>
        </w:rPr>
        <w:t xml:space="preserve"> </w:t>
      </w:r>
      <w:r w:rsidR="00BD17A2" w:rsidRPr="002C70E9">
        <w:rPr>
          <w:sz w:val="28"/>
          <w:szCs w:val="28"/>
          <w:lang w:val="uk-UA" w:eastAsia="uk-UA"/>
        </w:rPr>
        <w:t>Департаменту фінансового забезпеч</w:t>
      </w:r>
      <w:r w:rsidR="00BD17A2">
        <w:rPr>
          <w:sz w:val="28"/>
          <w:szCs w:val="28"/>
          <w:lang w:val="uk-UA" w:eastAsia="uk-UA"/>
        </w:rPr>
        <w:t xml:space="preserve">ення та бухгалтерського обліку, Адміністративно-господарського департаменту (по </w:t>
      </w:r>
      <w:r w:rsidR="00BD17A2" w:rsidRPr="00BD17A2">
        <w:rPr>
          <w:b/>
          <w:sz w:val="28"/>
          <w:szCs w:val="28"/>
          <w:lang w:val="uk-UA" w:eastAsia="uk-UA"/>
        </w:rPr>
        <w:t>3</w:t>
      </w:r>
      <w:r w:rsidR="00BD17A2">
        <w:rPr>
          <w:sz w:val="28"/>
          <w:szCs w:val="28"/>
          <w:lang w:val="uk-UA" w:eastAsia="uk-UA"/>
        </w:rPr>
        <w:t xml:space="preserve"> запити або по </w:t>
      </w:r>
      <w:r w:rsidR="00BD17A2" w:rsidRPr="00BD17A2">
        <w:rPr>
          <w:b/>
          <w:sz w:val="28"/>
          <w:szCs w:val="28"/>
          <w:lang w:val="uk-UA" w:eastAsia="uk-UA"/>
        </w:rPr>
        <w:t>3,5%</w:t>
      </w:r>
      <w:r w:rsidR="00BD17A2">
        <w:rPr>
          <w:sz w:val="28"/>
          <w:szCs w:val="28"/>
          <w:lang w:val="uk-UA" w:eastAsia="uk-UA"/>
        </w:rPr>
        <w:t>),</w:t>
      </w:r>
      <w:r w:rsidR="00D54AB7" w:rsidRPr="00D54AB7">
        <w:rPr>
          <w:sz w:val="28"/>
          <w:szCs w:val="28"/>
          <w:lang w:val="uk-UA" w:eastAsia="uk-UA"/>
        </w:rPr>
        <w:t xml:space="preserve"> </w:t>
      </w:r>
      <w:r w:rsidR="00D54AB7" w:rsidRPr="00D044F3">
        <w:rPr>
          <w:sz w:val="28"/>
          <w:szCs w:val="28"/>
          <w:lang w:val="uk-UA" w:eastAsia="uk-UA"/>
        </w:rPr>
        <w:t>Секретаріату Урядового уповноваженого у справах Європейського суду з прав людини</w:t>
      </w:r>
      <w:r w:rsidR="00D54AB7">
        <w:rPr>
          <w:sz w:val="28"/>
          <w:szCs w:val="28"/>
          <w:lang w:val="uk-UA" w:eastAsia="uk-UA"/>
        </w:rPr>
        <w:t xml:space="preserve"> (</w:t>
      </w:r>
      <w:r w:rsidR="00BD17A2">
        <w:rPr>
          <w:b/>
          <w:sz w:val="28"/>
          <w:szCs w:val="28"/>
          <w:lang w:val="uk-UA" w:eastAsia="uk-UA"/>
        </w:rPr>
        <w:t>2</w:t>
      </w:r>
      <w:r w:rsidR="00D54AB7">
        <w:rPr>
          <w:sz w:val="28"/>
          <w:szCs w:val="28"/>
          <w:lang w:val="uk-UA" w:eastAsia="uk-UA"/>
        </w:rPr>
        <w:t xml:space="preserve"> запит</w:t>
      </w:r>
      <w:r w:rsidR="00BD17A2">
        <w:rPr>
          <w:sz w:val="28"/>
          <w:szCs w:val="28"/>
          <w:lang w:val="uk-UA" w:eastAsia="uk-UA"/>
        </w:rPr>
        <w:t>и</w:t>
      </w:r>
      <w:r w:rsidR="00D54AB7">
        <w:rPr>
          <w:sz w:val="28"/>
          <w:szCs w:val="28"/>
          <w:lang w:val="uk-UA" w:eastAsia="uk-UA"/>
        </w:rPr>
        <w:t xml:space="preserve"> або по </w:t>
      </w:r>
      <w:r w:rsidR="00BD17A2">
        <w:rPr>
          <w:b/>
          <w:sz w:val="28"/>
          <w:szCs w:val="28"/>
          <w:lang w:val="uk-UA" w:eastAsia="uk-UA"/>
        </w:rPr>
        <w:t>2,4</w:t>
      </w:r>
      <w:r w:rsidR="00D54AB7" w:rsidRPr="00D54AB7">
        <w:rPr>
          <w:b/>
          <w:sz w:val="28"/>
          <w:szCs w:val="28"/>
          <w:lang w:val="uk-UA" w:eastAsia="uk-UA"/>
        </w:rPr>
        <w:t>%</w:t>
      </w:r>
      <w:r w:rsidR="00D54AB7" w:rsidRPr="00D54AB7">
        <w:rPr>
          <w:sz w:val="28"/>
          <w:szCs w:val="28"/>
          <w:lang w:val="uk-UA" w:eastAsia="uk-UA"/>
        </w:rPr>
        <w:t>)</w:t>
      </w:r>
      <w:r w:rsidR="00D54AB7">
        <w:rPr>
          <w:sz w:val="28"/>
          <w:szCs w:val="28"/>
          <w:lang w:val="uk-UA" w:eastAsia="uk-UA"/>
        </w:rPr>
        <w:t>.</w:t>
      </w:r>
    </w:p>
    <w:p w:rsidR="00D54AB7" w:rsidRDefault="00D54AB7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br/>
      </w:r>
    </w:p>
    <w:p w:rsidR="00D54AB7" w:rsidRDefault="00EB03F0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  <w:r w:rsidRPr="00EB03F0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086350" cy="9467850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21812" w:rsidRDefault="001D3210" w:rsidP="00D375A3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 </w:t>
      </w:r>
    </w:p>
    <w:p w:rsidR="005732CB" w:rsidRPr="00556081" w:rsidRDefault="005732CB" w:rsidP="00D375A3">
      <w:pPr>
        <w:jc w:val="both"/>
        <w:rPr>
          <w:sz w:val="28"/>
          <w:szCs w:val="28"/>
          <w:lang w:val="uk-UA" w:eastAsia="uk-UA"/>
        </w:rPr>
      </w:pPr>
    </w:p>
    <w:p w:rsidR="00921812" w:rsidRPr="00556081" w:rsidRDefault="00EB03F0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85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 w:rsidR="009D4ADC">
        <w:rPr>
          <w:b/>
          <w:sz w:val="28"/>
          <w:szCs w:val="28"/>
          <w:lang w:val="uk-UA"/>
        </w:rPr>
        <w:t>ів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DB5713" w:rsidRPr="00556081" w:rsidRDefault="00DB5713" w:rsidP="00DB5713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CD1147">
        <w:rPr>
          <w:b/>
          <w:sz w:val="28"/>
          <w:szCs w:val="28"/>
          <w:lang w:val="uk-UA"/>
        </w:rPr>
        <w:t>76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CD1147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</w:rPr>
        <w:t xml:space="preserve"> (</w:t>
      </w:r>
      <w:r w:rsidR="00CD1147">
        <w:rPr>
          <w:b/>
          <w:sz w:val="28"/>
          <w:szCs w:val="28"/>
          <w:lang w:val="uk-UA"/>
        </w:rPr>
        <w:t>8</w:t>
      </w:r>
      <w:r w:rsidR="00A9098E">
        <w:rPr>
          <w:b/>
          <w:sz w:val="28"/>
          <w:szCs w:val="28"/>
          <w:lang w:val="uk-UA"/>
        </w:rPr>
        <w:t>0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>
        <w:rPr>
          <w:b/>
          <w:color w:val="000000"/>
          <w:sz w:val="28"/>
          <w:szCs w:val="28"/>
          <w:lang w:val="uk-UA" w:eastAsia="uk-UA"/>
        </w:rPr>
        <w:t>)</w:t>
      </w:r>
      <w:r w:rsidRPr="00556081">
        <w:rPr>
          <w:b/>
          <w:sz w:val="28"/>
          <w:szCs w:val="28"/>
          <w:lang w:val="uk-UA"/>
        </w:rPr>
        <w:t>, із них:</w:t>
      </w:r>
    </w:p>
    <w:p w:rsidR="00DB5713" w:rsidRDefault="00DB5713" w:rsidP="00DB5713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EB03F0" w:rsidRPr="00EB03F0">
        <w:rPr>
          <w:b/>
          <w:sz w:val="28"/>
          <w:szCs w:val="28"/>
          <w:lang w:val="uk-UA"/>
        </w:rPr>
        <w:t>2</w:t>
      </w:r>
      <w:r w:rsidR="00CD1147">
        <w:rPr>
          <w:b/>
          <w:sz w:val="28"/>
          <w:szCs w:val="28"/>
          <w:lang w:val="uk-UA"/>
        </w:rPr>
        <w:t>3</w:t>
      </w:r>
      <w:r w:rsidRPr="00556081">
        <w:rPr>
          <w:b/>
          <w:sz w:val="28"/>
          <w:szCs w:val="28"/>
          <w:lang w:val="uk-UA"/>
        </w:rPr>
        <w:t xml:space="preserve"> </w:t>
      </w:r>
      <w:r w:rsidR="00EB03F0">
        <w:rPr>
          <w:sz w:val="28"/>
          <w:szCs w:val="28"/>
          <w:lang w:val="uk-UA"/>
        </w:rPr>
        <w:t>запити</w:t>
      </w:r>
      <w:r>
        <w:rPr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A9098E">
        <w:rPr>
          <w:b/>
          <w:sz w:val="28"/>
          <w:szCs w:val="28"/>
          <w:lang w:val="uk-UA"/>
        </w:rPr>
        <w:t>27</w:t>
      </w:r>
      <w:r w:rsidRPr="00E95061">
        <w:rPr>
          <w:b/>
          <w:sz w:val="28"/>
          <w:szCs w:val="28"/>
          <w:lang w:val="uk-UA"/>
        </w:rPr>
        <w:t>,</w:t>
      </w:r>
      <w:r w:rsidR="00A9098E">
        <w:rPr>
          <w:b/>
          <w:sz w:val="28"/>
          <w:szCs w:val="28"/>
          <w:lang w:val="uk-UA"/>
        </w:rPr>
        <w:t>1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 w:rsidRPr="00556081">
        <w:rPr>
          <w:sz w:val="28"/>
          <w:szCs w:val="28"/>
          <w:lang w:val="uk-UA"/>
        </w:rPr>
        <w:t xml:space="preserve"> надано публічну інформацію;</w:t>
      </w:r>
    </w:p>
    <w:p w:rsidR="00DB5713" w:rsidRDefault="00DB5713" w:rsidP="00DB5713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EB03F0">
        <w:rPr>
          <w:b/>
          <w:sz w:val="28"/>
          <w:szCs w:val="28"/>
          <w:lang w:val="uk-UA"/>
        </w:rPr>
        <w:t>45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EB03F0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A9098E">
        <w:rPr>
          <w:b/>
          <w:sz w:val="28"/>
          <w:szCs w:val="28"/>
          <w:lang w:val="uk-UA"/>
        </w:rPr>
        <w:t>52</w:t>
      </w:r>
      <w:r w:rsidRPr="00E95061">
        <w:rPr>
          <w:b/>
          <w:sz w:val="28"/>
          <w:szCs w:val="28"/>
          <w:lang w:val="uk-UA"/>
        </w:rPr>
        <w:t>,</w:t>
      </w:r>
      <w:r w:rsidR="00CD1147">
        <w:rPr>
          <w:b/>
          <w:sz w:val="28"/>
          <w:szCs w:val="28"/>
          <w:lang w:val="uk-UA"/>
        </w:rPr>
        <w:t>9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color w:val="000000"/>
          <w:sz w:val="28"/>
          <w:szCs w:val="28"/>
          <w:lang w:val="uk-UA" w:eastAsia="uk-UA"/>
        </w:rPr>
        <w:t>)</w:t>
      </w:r>
      <w:r w:rsidRPr="00E477B9">
        <w:rPr>
          <w:sz w:val="28"/>
          <w:szCs w:val="28"/>
          <w:lang w:val="uk-UA"/>
        </w:rPr>
        <w:t>,</w:t>
      </w:r>
      <w:r w:rsidRPr="00556081">
        <w:rPr>
          <w:sz w:val="28"/>
          <w:szCs w:val="28"/>
          <w:lang w:val="uk-UA"/>
        </w:rPr>
        <w:t xml:space="preserve">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DB5713" w:rsidRDefault="00DB5713" w:rsidP="00DB5713">
      <w:pPr>
        <w:ind w:firstLine="709"/>
        <w:jc w:val="both"/>
        <w:rPr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EB03F0">
        <w:rPr>
          <w:b/>
          <w:sz w:val="28"/>
          <w:szCs w:val="28"/>
          <w:lang w:val="uk-UA"/>
        </w:rPr>
        <w:t xml:space="preserve"> </w:t>
      </w:r>
      <w:r w:rsidR="00A9098E">
        <w:rPr>
          <w:b/>
          <w:sz w:val="28"/>
          <w:szCs w:val="28"/>
          <w:lang w:val="uk-UA"/>
        </w:rPr>
        <w:t>16</w:t>
      </w:r>
      <w:r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>запит</w:t>
      </w:r>
      <w:r w:rsidR="00BD17A2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A9098E">
        <w:rPr>
          <w:b/>
          <w:sz w:val="28"/>
          <w:szCs w:val="28"/>
          <w:lang w:val="uk-UA"/>
        </w:rPr>
        <w:t>18</w:t>
      </w:r>
      <w:r w:rsidRPr="00E95061">
        <w:rPr>
          <w:b/>
          <w:sz w:val="28"/>
          <w:szCs w:val="28"/>
          <w:lang w:val="uk-UA"/>
        </w:rPr>
        <w:t>,</w:t>
      </w:r>
      <w:r w:rsidR="00A9098E">
        <w:rPr>
          <w:b/>
          <w:sz w:val="28"/>
          <w:szCs w:val="28"/>
          <w:lang w:val="uk-UA"/>
        </w:rPr>
        <w:t>8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A9098E" w:rsidRDefault="008D719E" w:rsidP="00DB5713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8D719E">
        <w:rPr>
          <w:b/>
          <w:sz w:val="28"/>
          <w:szCs w:val="28"/>
          <w:lang w:val="uk-UA"/>
        </w:rPr>
        <w:t xml:space="preserve">розглянуто в межах компетенції у Міністерстві юстиції, надано відповідь та надіслано для розгляду належним розпорядникам інформації </w:t>
      </w:r>
    </w:p>
    <w:p w:rsidR="008D719E" w:rsidRPr="008D719E" w:rsidRDefault="00EB03F0" w:rsidP="00A9098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8D719E" w:rsidRPr="008D719E">
        <w:rPr>
          <w:b/>
          <w:sz w:val="28"/>
          <w:szCs w:val="28"/>
          <w:lang w:val="uk-UA"/>
        </w:rPr>
        <w:t xml:space="preserve"> запит (</w:t>
      </w:r>
      <w:r w:rsidR="00A9098E">
        <w:rPr>
          <w:b/>
          <w:sz w:val="28"/>
          <w:szCs w:val="28"/>
          <w:lang w:val="uk-UA"/>
        </w:rPr>
        <w:t>1</w:t>
      </w:r>
      <w:r w:rsidR="00474343">
        <w:rPr>
          <w:b/>
          <w:sz w:val="28"/>
          <w:szCs w:val="28"/>
          <w:lang w:val="uk-UA"/>
        </w:rPr>
        <w:t>,</w:t>
      </w:r>
      <w:r w:rsidR="00A9098E">
        <w:rPr>
          <w:b/>
          <w:sz w:val="28"/>
          <w:szCs w:val="28"/>
          <w:lang w:val="uk-UA"/>
        </w:rPr>
        <w:t>2</w:t>
      </w:r>
      <w:r w:rsidR="00474343">
        <w:rPr>
          <w:b/>
          <w:sz w:val="28"/>
          <w:szCs w:val="28"/>
          <w:lang w:val="uk-UA"/>
        </w:rPr>
        <w:t>%</w:t>
      </w:r>
      <w:r w:rsidR="008D719E" w:rsidRPr="008D719E">
        <w:rPr>
          <w:b/>
          <w:sz w:val="28"/>
          <w:szCs w:val="28"/>
          <w:lang w:val="uk-UA"/>
        </w:rPr>
        <w:t>)</w:t>
      </w:r>
      <w:r w:rsidR="008D719E" w:rsidRPr="008D719E">
        <w:rPr>
          <w:sz w:val="28"/>
          <w:szCs w:val="28"/>
          <w:lang w:val="uk-UA"/>
        </w:rPr>
        <w:t>.</w:t>
      </w:r>
    </w:p>
    <w:p w:rsidR="00DB5713" w:rsidRPr="008D719E" w:rsidRDefault="00DB5713" w:rsidP="00DB5713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Pr="00556081" w:rsidRDefault="00A9098E" w:rsidP="00DB5713">
      <w:pPr>
        <w:jc w:val="both"/>
        <w:rPr>
          <w:sz w:val="28"/>
          <w:szCs w:val="28"/>
          <w:lang w:val="uk-UA"/>
        </w:rPr>
      </w:pPr>
      <w:r w:rsidRPr="00A9098E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4089209"/>
            <wp:effectExtent l="0" t="0" r="0" b="0"/>
            <wp:docPr id="8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204" w:rsidRDefault="00721204" w:rsidP="00BB617A">
      <w:r>
        <w:separator/>
      </w:r>
    </w:p>
  </w:endnote>
  <w:endnote w:type="continuationSeparator" w:id="0">
    <w:p w:rsidR="00721204" w:rsidRDefault="00721204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204" w:rsidRDefault="00721204" w:rsidP="00BB617A">
      <w:r>
        <w:separator/>
      </w:r>
    </w:p>
  </w:footnote>
  <w:footnote w:type="continuationSeparator" w:id="0">
    <w:p w:rsidR="00721204" w:rsidRDefault="00721204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204" w:rsidRDefault="00E95978">
    <w:pPr>
      <w:pStyle w:val="a8"/>
      <w:jc w:val="center"/>
    </w:pPr>
    <w:fldSimple w:instr=" PAGE   \* MERGEFORMAT ">
      <w:r w:rsidR="00AA3C5C">
        <w:rPr>
          <w:noProof/>
        </w:rPr>
        <w:t>5</w:t>
      </w:r>
    </w:fldSimple>
  </w:p>
  <w:p w:rsidR="00721204" w:rsidRDefault="0072120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12D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8FA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0A59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1F1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3210"/>
    <w:rsid w:val="001D3448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2243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C70E9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3001"/>
    <w:rsid w:val="00315CF6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343"/>
    <w:rsid w:val="0047477C"/>
    <w:rsid w:val="00474EDB"/>
    <w:rsid w:val="004758BC"/>
    <w:rsid w:val="004773BA"/>
    <w:rsid w:val="0048087C"/>
    <w:rsid w:val="0048090C"/>
    <w:rsid w:val="0048189C"/>
    <w:rsid w:val="00482900"/>
    <w:rsid w:val="00482CDB"/>
    <w:rsid w:val="00484181"/>
    <w:rsid w:val="00484AF8"/>
    <w:rsid w:val="0048765D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6A58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6A7F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0794D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451F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3B4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50C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97B6C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5BC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204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CEF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5DD5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059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2414"/>
    <w:rsid w:val="008552A0"/>
    <w:rsid w:val="00855A31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D719E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1AC7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2C7E"/>
    <w:rsid w:val="00945B7F"/>
    <w:rsid w:val="0094632E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5B04"/>
    <w:rsid w:val="009C5FEC"/>
    <w:rsid w:val="009C7394"/>
    <w:rsid w:val="009C7B1F"/>
    <w:rsid w:val="009D09D3"/>
    <w:rsid w:val="009D200E"/>
    <w:rsid w:val="009D4ADC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5899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5C5A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BE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98E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A3C5C"/>
    <w:rsid w:val="00AB0BA0"/>
    <w:rsid w:val="00AB15BD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3F45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17A2"/>
    <w:rsid w:val="00BD375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85056"/>
    <w:rsid w:val="00C914AE"/>
    <w:rsid w:val="00C92DF9"/>
    <w:rsid w:val="00C93C1C"/>
    <w:rsid w:val="00C94345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5780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1147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044F3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4AB7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B5713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5978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03F0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3A1B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DC5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2B0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96F08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370F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11%2002%20-%2020%2002%202016\&#1050;&#1085;&#1080;&#1075;&#1072;%2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11%2002%20-%2020%2002%202016\&#1050;&#1085;&#1080;&#1075;&#1072;%20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11%2002%20-%2020%2002%202016\&#1050;&#1085;&#1080;&#1075;&#1072;%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6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557E-2"/>
                  <c:y val="2.8435039370078755E-2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'21.01.2016-31.01.2016 (12)'!$B$104:$B$105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'21.01.2016-31.01.2016 (12)'!$C$104:$C$105</c:f>
              <c:numCache>
                <c:formatCode>General</c:formatCode>
                <c:ptCount val="2"/>
                <c:pt idx="0">
                  <c:v>47</c:v>
                </c:pt>
                <c:pt idx="1">
                  <c:v>38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567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65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20%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12,9%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4.7870561244222183E-2"/>
                  <c:y val="-2.1041187159297411E-2"/>
                </c:manualLayout>
              </c:layout>
              <c:showPercent val="1"/>
            </c:dLbl>
            <c:dLbl>
              <c:idx val="5"/>
              <c:layout>
                <c:manualLayout>
                  <c:x val="5.0245457515235487E-2"/>
                  <c:y val="-2.9371722765423658E-2"/>
                </c:manualLayout>
              </c:layout>
              <c:showPercent val="1"/>
            </c:dLbl>
            <c:dLbl>
              <c:idx val="6"/>
              <c:layout>
                <c:manualLayout>
                  <c:x val="4.3114009890394614E-2"/>
                  <c:y val="-8.6112312883966505E-4"/>
                </c:manualLayout>
              </c:layout>
              <c:showPercent val="1"/>
            </c:dLbl>
            <c:dLbl>
              <c:idx val="7"/>
              <c:layout>
                <c:manualLayout>
                  <c:x val="3.0423064069780976E-2"/>
                  <c:y val="8.1265034178420216E-3"/>
                </c:manualLayout>
              </c:layout>
              <c:showPercent val="1"/>
            </c:dLbl>
            <c:dLbl>
              <c:idx val="8"/>
              <c:layout>
                <c:manualLayout>
                  <c:x val="4.9594659036719134E-2"/>
                  <c:y val="1.8115514406852991E-2"/>
                </c:manualLayout>
              </c:layout>
              <c:showPercent val="1"/>
            </c:dLbl>
            <c:dLbl>
              <c:idx val="9"/>
              <c:layout>
                <c:manualLayout>
                  <c:x val="5.8254349107649046E-2"/>
                  <c:y val="2.90979492947996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4,6%</a:t>
                    </a:r>
                  </a:p>
                </c:rich>
              </c:tx>
              <c:showPercent val="1"/>
            </c:dLbl>
            <c:dLbl>
              <c:idx val="10"/>
              <c:layout>
                <c:manualLayout>
                  <c:x val="1.6871946800641337E-2"/>
                  <c:y val="6.9412736869431946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9124E-2"/>
                </c:manualLayout>
              </c:layout>
              <c:showPercent val="1"/>
            </c:dLbl>
            <c:dLbl>
              <c:idx val="13"/>
              <c:layout>
                <c:manualLayout>
                  <c:x val="-9.9509084969529066E-2"/>
                  <c:y val="5.5857921605953112E-2"/>
                </c:manualLayout>
              </c:layout>
              <c:showPercent val="1"/>
            </c:dLbl>
            <c:dLbl>
              <c:idx val="14"/>
              <c:layout>
                <c:manualLayout>
                  <c:x val="-0.17205666888205501"/>
                  <c:y val="4.2612096564852507E-2"/>
                </c:manualLayout>
              </c:layout>
              <c:showPercent val="1"/>
            </c:dLbl>
            <c:dLbl>
              <c:idx val="15"/>
              <c:layout>
                <c:manualLayout>
                  <c:x val="-0.14244556340328701"/>
                  <c:y val="2.4093969023102842E-2"/>
                </c:manualLayout>
              </c:layout>
              <c:showPercent val="1"/>
            </c:dLbl>
            <c:dLbl>
              <c:idx val="16"/>
              <c:layout>
                <c:manualLayout>
                  <c:x val="-9.8915961685047973E-2"/>
                  <c:y val="5.7651639698883834E-3"/>
                </c:manualLayout>
              </c:layout>
              <c:showPercent val="1"/>
            </c:dLbl>
            <c:dLbl>
              <c:idx val="17"/>
              <c:layout>
                <c:manualLayout>
                  <c:x val="-0.12479605285390979"/>
                  <c:y val="-7.9549190966513913E-3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974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456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903"/>
                  <c:y val="0.10510176472157486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786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'21.01.2016-31.01.2016 (12)'!$G$6:$G$19</c:f>
              <c:strCache>
                <c:ptCount val="14"/>
                <c:pt idx="0">
                  <c:v>Департамент державної реєстрації - 17 запитів або 20 %  </c:v>
                </c:pt>
                <c:pt idx="1">
                  <c:v>Департамент з питань судової роботи та банкрутства - 11 запитів або 12,9 % </c:v>
                </c:pt>
                <c:pt idx="2">
                  <c:v>Департамент кадрової роботи та державної служби - 10 запитів або 11,8 % </c:v>
                </c:pt>
                <c:pt idx="3">
                  <c:v>Департамент організаційного забезпечення та контролю  - 6 запитів або 7,1 % (всі запити надіслано за належністю до інших розпорядників інформації)</c:v>
                </c:pt>
                <c:pt idx="4">
                  <c:v>Департамент цивільного, фінансового законодавства та законодавства з питань земельних відносин - 6 запитів або 7,1 % </c:v>
                </c:pt>
                <c:pt idx="5">
                  <c:v>Департамент реєстрації та систематизації нормативних актів, правоосвітньої діяльності - 5 запитів або 5,9%</c:v>
                </c:pt>
                <c:pt idx="6">
                  <c:v>Департамент державної виконавчої служби - 5 запитів або 5,9 %</c:v>
                </c:pt>
                <c:pt idx="7">
                  <c:v>Департамент з питань нотаріату  -  5 запитів або 5,9%</c:v>
                </c:pt>
                <c:pt idx="8">
                  <c:v>Департамент міжнародного права - 5 запитів або 5,9 %</c:v>
                </c:pt>
                <c:pt idx="9">
                  <c:v>Департамент конституційного, адміністративного та соціального законодавства - 4 запити або 4,6% </c:v>
                </c:pt>
                <c:pt idx="10">
                  <c:v>Департамент антикорупційного законодавства та з питань юстиції і безпеки - 3 запити або 3,5 %</c:v>
                </c:pt>
                <c:pt idx="11">
                  <c:v>Департамент фінансового забезпечення та бухгалтерського обліку - 3 запити або 3,5% </c:v>
                </c:pt>
                <c:pt idx="12">
                  <c:v>Адміністративно-господарський департамент - 3 запити або  3,5%</c:v>
                </c:pt>
                <c:pt idx="13">
                  <c:v>Секретаріат Урядового уповноваженого у справах Європейського суду з прав людини - 2 запити або 2,4 % </c:v>
                </c:pt>
              </c:strCache>
            </c:strRef>
          </c:cat>
          <c:val>
            <c:numRef>
              <c:f>'21.01.2016-31.01.2016 (12)'!$H$6:$H$19</c:f>
              <c:numCache>
                <c:formatCode>General</c:formatCode>
                <c:ptCount val="14"/>
                <c:pt idx="0">
                  <c:v>17</c:v>
                </c:pt>
                <c:pt idx="1">
                  <c:v>11</c:v>
                </c:pt>
                <c:pt idx="2">
                  <c:v>10</c:v>
                </c:pt>
                <c:pt idx="3">
                  <c:v>6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  <c:pt idx="7">
                  <c:v>5</c:v>
                </c:pt>
                <c:pt idx="8">
                  <c:v>5</c:v>
                </c:pt>
                <c:pt idx="9">
                  <c:v>4</c:v>
                </c:pt>
                <c:pt idx="10">
                  <c:v>3</c:v>
                </c:pt>
                <c:pt idx="11">
                  <c:v>3</c:v>
                </c:pt>
                <c:pt idx="12">
                  <c:v>3</c:v>
                </c:pt>
                <c:pt idx="13">
                  <c:v>2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69E-2"/>
          <c:y val="0.3767362637362679"/>
          <c:w val="0.89713869457304962"/>
          <c:h val="0.6228906339201139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0.10327882098276611"/>
          <c:y val="0.1350313880066819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3.6263837259281402E-2"/>
                  <c:y val="-6.7023115408305037E-2"/>
                </c:manualLayout>
              </c:layout>
              <c:dLblPos val="bestFit"/>
              <c:showPercent val="1"/>
            </c:dLbl>
            <c:dLbl>
              <c:idx val="1"/>
              <c:layout>
                <c:manualLayout>
                  <c:x val="2.0754917106945211E-2"/>
                  <c:y val="5.8852450229649134E-2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-4.6860231880646357E-2"/>
                  <c:y val="-0.10375905298215179"/>
                </c:manualLayout>
              </c:layout>
              <c:dLblPos val="bestFit"/>
              <c:showPercent val="1"/>
            </c:dLbl>
            <c:dLbl>
              <c:idx val="3"/>
              <c:layout>
                <c:manualLayout>
                  <c:x val="1.3651364928246718E-2"/>
                  <c:y val="-5.3250551558828713E-2"/>
                </c:manualLayout>
              </c:layout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dLblPos val="bestFit"/>
              <c:showPercent val="1"/>
            </c:dLbl>
            <c:dLbl>
              <c:idx val="5"/>
              <c:layout>
                <c:manualLayout>
                  <c:x val="-1.7420758193512787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txPr>
              <a:bodyPr/>
              <a:lstStyle/>
              <a:p>
                <a:pPr>
                  <a:defRPr b="0" baseline="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showPercent val="1"/>
            <c:showLeaderLines val="1"/>
          </c:dLbls>
          <c:cat>
            <c:strRef>
              <c:f>'21.01.2016-31.01.2016 (12)'!$B$48:$B$51</c:f>
              <c:strCache>
                <c:ptCount val="4"/>
                <c:pt idx="0">
                  <c:v>На 45 запитів або 52,9% надано роз'яснення законодавства України</c:v>
                </c:pt>
                <c:pt idx="1">
                  <c:v>На 23 запити або 27,1 % надано публічну інформацію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інформації 1 запит або 1,2%</c:v>
                </c:pt>
                <c:pt idx="3">
                  <c:v>Надіслано за належністю до інших розпорядників інформації для розгляду та надання відповіді 16 запитів або 18,8 %</c:v>
                </c:pt>
              </c:strCache>
            </c:strRef>
          </c:cat>
          <c:val>
            <c:numRef>
              <c:f>'21.01.2016-31.01.2016 (12)'!$C$48:$C$51</c:f>
              <c:numCache>
                <c:formatCode>General</c:formatCode>
                <c:ptCount val="4"/>
                <c:pt idx="0">
                  <c:v>45</c:v>
                </c:pt>
                <c:pt idx="1">
                  <c:v>23</c:v>
                </c:pt>
                <c:pt idx="2">
                  <c:v>1</c:v>
                </c:pt>
                <c:pt idx="3">
                  <c:v>16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0785051706119408"/>
          <c:y val="8.2988206811464182E-2"/>
          <c:w val="0.34429605598543722"/>
          <c:h val="0.86426689688019565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7389F-297A-444A-9D35-61FE4070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5</Pages>
  <Words>842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32</cp:revision>
  <cp:lastPrinted>2016-03-09T09:10:00Z</cp:lastPrinted>
  <dcterms:created xsi:type="dcterms:W3CDTF">2015-10-08T11:18:00Z</dcterms:created>
  <dcterms:modified xsi:type="dcterms:W3CDTF">2016-03-10T08:32:00Z</dcterms:modified>
</cp:coreProperties>
</file>