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29" w:rsidRPr="000222BB" w:rsidRDefault="00BC5F29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BC5F29" w:rsidRPr="000222BB" w:rsidRDefault="00BC5F29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BC5F29" w:rsidRPr="000222BB" w:rsidRDefault="00BC5F29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 xml:space="preserve">«Звіти про </w:t>
      </w:r>
      <w:r w:rsidR="002F5E1B">
        <w:rPr>
          <w:rStyle w:val="atitle"/>
          <w:b/>
          <w:sz w:val="27"/>
          <w:szCs w:val="27"/>
          <w:lang w:val="uk-UA"/>
        </w:rPr>
        <w:t>розгляд</w:t>
      </w:r>
      <w:r w:rsidRPr="000222BB">
        <w:rPr>
          <w:rStyle w:val="atitle"/>
          <w:b/>
          <w:sz w:val="27"/>
          <w:szCs w:val="27"/>
          <w:lang w:val="uk-UA"/>
        </w:rPr>
        <w:t xml:space="preserve">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2014 рік»:</w:t>
      </w:r>
    </w:p>
    <w:p w:rsidR="00BC5F29" w:rsidRPr="000222BB" w:rsidRDefault="00BC5F29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924725">
        <w:rPr>
          <w:b/>
          <w:sz w:val="27"/>
          <w:szCs w:val="27"/>
          <w:lang w:val="uk-UA"/>
        </w:rPr>
        <w:t>01.09.2014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924725">
        <w:rPr>
          <w:b/>
          <w:sz w:val="27"/>
          <w:szCs w:val="27"/>
          <w:lang w:val="uk-UA"/>
        </w:rPr>
        <w:t>05.09.2014</w:t>
      </w:r>
      <w:r w:rsidRPr="000222BB">
        <w:rPr>
          <w:b/>
          <w:sz w:val="27"/>
          <w:szCs w:val="27"/>
          <w:lang w:val="uk-UA"/>
        </w:rPr>
        <w:t>»</w:t>
      </w:r>
      <w:r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 як</w:t>
      </w:r>
      <w:r>
        <w:rPr>
          <w:sz w:val="27"/>
          <w:szCs w:val="27"/>
          <w:lang w:val="uk-UA"/>
        </w:rPr>
        <w:t>у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 w:rsidR="00924725">
        <w:rPr>
          <w:b/>
          <w:sz w:val="27"/>
          <w:szCs w:val="27"/>
          <w:lang w:val="uk-UA"/>
        </w:rPr>
        <w:t>01.09.2014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924725">
        <w:rPr>
          <w:b/>
          <w:sz w:val="27"/>
          <w:szCs w:val="27"/>
          <w:lang w:val="uk-UA"/>
        </w:rPr>
        <w:t>05.09.2014</w:t>
      </w:r>
    </w:p>
    <w:p w:rsidR="00BC5F29" w:rsidRPr="000222BB" w:rsidRDefault="00BC5F29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 w:rsidR="00924725">
        <w:rPr>
          <w:sz w:val="27"/>
          <w:szCs w:val="27"/>
          <w:lang w:val="uk-UA"/>
        </w:rPr>
        <w:t>01.09.2014</w:t>
      </w:r>
      <w:r w:rsidRPr="000222BB">
        <w:rPr>
          <w:sz w:val="27"/>
          <w:szCs w:val="27"/>
          <w:lang w:val="uk-UA"/>
        </w:rPr>
        <w:t xml:space="preserve"> по </w:t>
      </w:r>
      <w:r w:rsidR="00924725">
        <w:rPr>
          <w:sz w:val="27"/>
          <w:szCs w:val="27"/>
          <w:lang w:val="uk-UA"/>
        </w:rPr>
        <w:t>05.09.2014</w:t>
      </w:r>
      <w:r w:rsidRPr="000222BB">
        <w:rPr>
          <w:sz w:val="27"/>
          <w:szCs w:val="27"/>
          <w:lang w:val="uk-UA"/>
        </w:rPr>
        <w:t xml:space="preserve"> до Міністерства юстиції надійшло </w:t>
      </w:r>
      <w:r w:rsidR="0004107B">
        <w:rPr>
          <w:b/>
          <w:sz w:val="27"/>
          <w:szCs w:val="27"/>
          <w:lang w:val="uk-UA"/>
        </w:rPr>
        <w:t>25</w:t>
      </w:r>
      <w:r w:rsidRPr="000222BB">
        <w:rPr>
          <w:sz w:val="27"/>
          <w:szCs w:val="27"/>
          <w:lang w:val="uk-UA"/>
        </w:rPr>
        <w:t xml:space="preserve"> запит</w:t>
      </w:r>
      <w:r w:rsidR="0004107B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BC5F29" w:rsidRPr="000222BB" w:rsidRDefault="00BC5F29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BC5F29" w:rsidRPr="000222BB" w:rsidRDefault="00BC5F29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04107B">
        <w:rPr>
          <w:rStyle w:val="grame"/>
          <w:b/>
          <w:sz w:val="27"/>
          <w:szCs w:val="27"/>
          <w:lang w:val="uk-UA"/>
        </w:rPr>
        <w:t>16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04107B">
        <w:rPr>
          <w:rStyle w:val="grame"/>
          <w:sz w:val="27"/>
          <w:szCs w:val="27"/>
          <w:lang w:val="uk-UA"/>
        </w:rPr>
        <w:t>13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04107B">
        <w:rPr>
          <w:rStyle w:val="grame"/>
          <w:sz w:val="27"/>
          <w:szCs w:val="27"/>
          <w:lang w:val="uk-UA"/>
        </w:rPr>
        <w:t>3</w:t>
      </w:r>
      <w:r w:rsidRPr="000222BB">
        <w:rPr>
          <w:rStyle w:val="grame"/>
          <w:sz w:val="27"/>
          <w:szCs w:val="27"/>
          <w:lang w:val="uk-UA"/>
        </w:rPr>
        <w:t>);</w:t>
      </w:r>
    </w:p>
    <w:p w:rsidR="00BC5F29" w:rsidRPr="000222BB" w:rsidRDefault="00BC5F29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04107B">
        <w:rPr>
          <w:rStyle w:val="grame"/>
          <w:b/>
          <w:sz w:val="27"/>
          <w:szCs w:val="27"/>
          <w:lang w:val="uk-UA"/>
        </w:rPr>
        <w:t>9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04107B">
        <w:rPr>
          <w:rStyle w:val="grame"/>
          <w:sz w:val="27"/>
          <w:szCs w:val="27"/>
          <w:lang w:val="uk-UA"/>
        </w:rPr>
        <w:t>4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04107B">
        <w:rPr>
          <w:rStyle w:val="grame"/>
          <w:sz w:val="27"/>
          <w:szCs w:val="27"/>
          <w:lang w:val="uk-UA"/>
        </w:rPr>
        <w:t>5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C5F29" w:rsidRPr="000222BB" w:rsidRDefault="0004107B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4107B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152515" cy="2509520"/>
            <wp:effectExtent l="19050" t="0" r="19685" b="508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C5F29" w:rsidRPr="000222BB" w:rsidRDefault="00BC5F29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 xml:space="preserve">Найбільша кількість запитів надійшла </w:t>
      </w:r>
      <w:r>
        <w:rPr>
          <w:sz w:val="27"/>
          <w:szCs w:val="27"/>
          <w:lang w:val="uk-UA"/>
        </w:rPr>
        <w:t xml:space="preserve">з </w:t>
      </w:r>
      <w:r w:rsidR="00DE67F0">
        <w:rPr>
          <w:sz w:val="27"/>
          <w:szCs w:val="27"/>
          <w:lang w:val="uk-UA"/>
        </w:rPr>
        <w:t xml:space="preserve">міста </w:t>
      </w:r>
      <w:r w:rsidRPr="000222BB">
        <w:rPr>
          <w:sz w:val="27"/>
          <w:szCs w:val="27"/>
          <w:lang w:val="uk-UA"/>
        </w:rPr>
        <w:t>Києва</w:t>
      </w:r>
      <w:r w:rsidR="00A078E3">
        <w:rPr>
          <w:sz w:val="27"/>
          <w:szCs w:val="27"/>
          <w:lang w:val="uk-UA"/>
        </w:rPr>
        <w:t xml:space="preserve"> (</w:t>
      </w:r>
      <w:r w:rsidR="00A078E3" w:rsidRPr="00A078E3">
        <w:rPr>
          <w:b/>
          <w:sz w:val="27"/>
          <w:szCs w:val="27"/>
          <w:lang w:val="uk-UA"/>
        </w:rPr>
        <w:t>7</w:t>
      </w:r>
      <w:r w:rsidR="00A078E3">
        <w:rPr>
          <w:sz w:val="27"/>
          <w:szCs w:val="27"/>
          <w:lang w:val="uk-UA"/>
        </w:rPr>
        <w:t xml:space="preserve"> запитів)</w:t>
      </w:r>
      <w:r w:rsidRPr="000222BB">
        <w:rPr>
          <w:sz w:val="27"/>
          <w:szCs w:val="27"/>
          <w:lang w:val="uk-UA"/>
        </w:rPr>
        <w:t xml:space="preserve"> </w:t>
      </w:r>
      <w:r w:rsidR="00A43316">
        <w:rPr>
          <w:sz w:val="27"/>
          <w:szCs w:val="27"/>
          <w:lang w:val="uk-UA"/>
        </w:rPr>
        <w:t xml:space="preserve">та </w:t>
      </w:r>
      <w:r w:rsidR="00A078E3">
        <w:rPr>
          <w:sz w:val="27"/>
          <w:szCs w:val="27"/>
          <w:lang w:val="uk-UA"/>
        </w:rPr>
        <w:t xml:space="preserve">Львівської </w:t>
      </w:r>
      <w:r w:rsidR="00A43316">
        <w:rPr>
          <w:sz w:val="27"/>
          <w:szCs w:val="27"/>
          <w:lang w:val="uk-UA"/>
        </w:rPr>
        <w:t xml:space="preserve">області </w:t>
      </w:r>
      <w:r w:rsidRPr="000222BB">
        <w:rPr>
          <w:sz w:val="27"/>
          <w:szCs w:val="27"/>
          <w:lang w:val="uk-UA"/>
        </w:rPr>
        <w:t>(</w:t>
      </w:r>
      <w:r w:rsidR="00A078E3">
        <w:rPr>
          <w:b/>
          <w:sz w:val="27"/>
          <w:szCs w:val="27"/>
          <w:lang w:val="uk-UA"/>
        </w:rPr>
        <w:t>3</w:t>
      </w:r>
      <w:r w:rsidRPr="000222BB">
        <w:rPr>
          <w:sz w:val="27"/>
          <w:szCs w:val="27"/>
          <w:lang w:val="uk-UA"/>
        </w:rPr>
        <w:t xml:space="preserve"> запит</w:t>
      </w:r>
      <w:r w:rsidR="00A078E3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). </w:t>
      </w: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Запитувані документи та інформація:</w:t>
      </w:r>
    </w:p>
    <w:p w:rsidR="00BC5F29" w:rsidRDefault="00BC5F29" w:rsidP="00AC6B3F">
      <w:pPr>
        <w:ind w:firstLine="426"/>
        <w:jc w:val="both"/>
        <w:rPr>
          <w:sz w:val="27"/>
          <w:szCs w:val="27"/>
          <w:lang w:val="uk-UA"/>
        </w:rPr>
      </w:pP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документи:</w:t>
      </w:r>
    </w:p>
    <w:p w:rsidR="009F11DD" w:rsidRDefault="00DE4828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Реєстру атестованих судових експертів;</w:t>
      </w:r>
    </w:p>
    <w:p w:rsidR="00BC5F29" w:rsidRPr="00C90E02" w:rsidRDefault="00BC5F29" w:rsidP="00C90E02">
      <w:pPr>
        <w:pStyle w:val="1"/>
        <w:ind w:left="786"/>
        <w:jc w:val="both"/>
        <w:rPr>
          <w:sz w:val="27"/>
          <w:szCs w:val="27"/>
          <w:lang w:val="uk-UA"/>
        </w:rPr>
      </w:pPr>
    </w:p>
    <w:p w:rsidR="00BC5F29" w:rsidRPr="00C90E02" w:rsidRDefault="00BC5F29" w:rsidP="00DE67F0">
      <w:pPr>
        <w:ind w:firstLine="425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інформація</w:t>
      </w:r>
      <w:r>
        <w:rPr>
          <w:b/>
          <w:sz w:val="27"/>
          <w:szCs w:val="27"/>
          <w:lang w:val="uk-UA"/>
        </w:rPr>
        <w:t xml:space="preserve"> про</w:t>
      </w:r>
      <w:r w:rsidRPr="00C90E02">
        <w:rPr>
          <w:b/>
          <w:sz w:val="27"/>
          <w:szCs w:val="27"/>
          <w:lang w:val="uk-UA"/>
        </w:rPr>
        <w:t>:</w:t>
      </w:r>
    </w:p>
    <w:p w:rsidR="00BC5F29" w:rsidRDefault="00DE4828" w:rsidP="00DE67F0">
      <w:pPr>
        <w:pStyle w:val="1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виплату коштів на виконання рішен</w:t>
      </w:r>
      <w:r>
        <w:rPr>
          <w:sz w:val="27"/>
          <w:szCs w:val="27"/>
          <w:lang w:val="uk-UA"/>
        </w:rPr>
        <w:t>ь</w:t>
      </w:r>
      <w:r w:rsidRPr="00331982">
        <w:rPr>
          <w:sz w:val="27"/>
          <w:szCs w:val="27"/>
          <w:lang w:val="uk-UA"/>
        </w:rPr>
        <w:t xml:space="preserve"> Європейського суду з прав людини та національних судів за бюджетною програмою 3601170 «Платежі на виконання рішень закордонних юрисдикційних органів, прийнятих за наслідками розгляду справ проти України»</w:t>
      </w:r>
      <w:r w:rsidR="00C036AA">
        <w:rPr>
          <w:sz w:val="27"/>
          <w:szCs w:val="27"/>
          <w:lang w:val="uk-UA"/>
        </w:rPr>
        <w:t xml:space="preserve">. </w:t>
      </w:r>
    </w:p>
    <w:p w:rsidR="00265184" w:rsidRPr="00331982" w:rsidRDefault="00265184" w:rsidP="00265184">
      <w:pPr>
        <w:pStyle w:val="1"/>
        <w:spacing w:line="276" w:lineRule="auto"/>
        <w:ind w:left="425"/>
        <w:jc w:val="both"/>
        <w:rPr>
          <w:sz w:val="27"/>
          <w:szCs w:val="27"/>
          <w:lang w:val="uk-UA"/>
        </w:rPr>
      </w:pPr>
    </w:p>
    <w:p w:rsidR="00BC5F29" w:rsidRDefault="00BC5F29" w:rsidP="00040A50">
      <w:pPr>
        <w:pStyle w:val="1"/>
        <w:spacing w:before="12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265184" w:rsidRPr="00331982" w:rsidRDefault="00265184" w:rsidP="00265184">
      <w:pPr>
        <w:pStyle w:val="1"/>
        <w:spacing w:before="120" w:line="276" w:lineRule="auto"/>
        <w:ind w:left="0" w:firstLine="426"/>
        <w:jc w:val="both"/>
        <w:rPr>
          <w:sz w:val="27"/>
          <w:szCs w:val="27"/>
          <w:lang w:val="uk-UA"/>
        </w:rPr>
      </w:pPr>
      <w:r w:rsidRPr="0026518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7"/>
          <w:szCs w:val="27"/>
          <w:lang w:val="uk-UA"/>
        </w:rPr>
        <w:t>(</w:t>
      </w:r>
      <w:r w:rsidRPr="00265184">
        <w:rPr>
          <w:b/>
          <w:sz w:val="27"/>
          <w:szCs w:val="27"/>
          <w:lang w:val="uk-UA"/>
        </w:rPr>
        <w:t>6</w:t>
      </w:r>
      <w:r w:rsidRPr="00265184">
        <w:rPr>
          <w:sz w:val="27"/>
          <w:szCs w:val="27"/>
          <w:lang w:val="uk-UA"/>
        </w:rPr>
        <w:t xml:space="preserve"> запитів або </w:t>
      </w:r>
      <w:r w:rsidRPr="00265184">
        <w:rPr>
          <w:b/>
          <w:sz w:val="27"/>
          <w:szCs w:val="27"/>
          <w:lang w:val="uk-UA"/>
        </w:rPr>
        <w:t>24%</w:t>
      </w:r>
      <w:r>
        <w:rPr>
          <w:sz w:val="27"/>
          <w:szCs w:val="27"/>
          <w:lang w:val="uk-UA"/>
        </w:rPr>
        <w:t xml:space="preserve">), </w:t>
      </w:r>
      <w:r w:rsidRPr="0026518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організаційного та ресурсного забезпечення </w:t>
      </w:r>
      <w:r w:rsidR="0014080F">
        <w:rPr>
          <w:sz w:val="27"/>
          <w:szCs w:val="27"/>
          <w:lang w:val="uk-UA"/>
        </w:rPr>
        <w:t xml:space="preserve">                 </w:t>
      </w:r>
      <w:r>
        <w:rPr>
          <w:sz w:val="27"/>
          <w:szCs w:val="27"/>
          <w:lang w:val="uk-UA"/>
        </w:rPr>
        <w:t>(</w:t>
      </w:r>
      <w:r w:rsidRPr="00265184">
        <w:rPr>
          <w:b/>
          <w:sz w:val="27"/>
          <w:szCs w:val="27"/>
          <w:lang w:val="uk-UA"/>
        </w:rPr>
        <w:t>3</w:t>
      </w:r>
      <w:r w:rsidRPr="00265184">
        <w:rPr>
          <w:sz w:val="27"/>
          <w:szCs w:val="27"/>
          <w:lang w:val="uk-UA"/>
        </w:rPr>
        <w:t xml:space="preserve"> запити або </w:t>
      </w:r>
      <w:r w:rsidRPr="00265184">
        <w:rPr>
          <w:b/>
          <w:sz w:val="27"/>
          <w:szCs w:val="27"/>
          <w:lang w:val="uk-UA"/>
        </w:rPr>
        <w:t>12%</w:t>
      </w:r>
      <w:r>
        <w:rPr>
          <w:sz w:val="27"/>
          <w:szCs w:val="27"/>
          <w:lang w:val="uk-UA"/>
        </w:rPr>
        <w:t xml:space="preserve">, </w:t>
      </w:r>
      <w:r w:rsidRPr="00265184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</w:t>
      </w:r>
      <w:r w:rsidR="0014080F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, </w:t>
      </w:r>
      <w:r w:rsidRPr="00265184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>
        <w:rPr>
          <w:sz w:val="27"/>
          <w:szCs w:val="27"/>
          <w:lang w:val="uk-UA"/>
        </w:rPr>
        <w:t>(</w:t>
      </w:r>
      <w:r w:rsidRPr="00265184">
        <w:rPr>
          <w:b/>
          <w:sz w:val="27"/>
          <w:szCs w:val="27"/>
          <w:lang w:val="uk-UA"/>
        </w:rPr>
        <w:t>3</w:t>
      </w:r>
      <w:r w:rsidRPr="00265184">
        <w:rPr>
          <w:sz w:val="27"/>
          <w:szCs w:val="27"/>
          <w:lang w:val="uk-UA"/>
        </w:rPr>
        <w:t xml:space="preserve"> запити або </w:t>
      </w:r>
      <w:r w:rsidRPr="00265184">
        <w:rPr>
          <w:b/>
          <w:sz w:val="27"/>
          <w:szCs w:val="27"/>
          <w:lang w:val="uk-UA"/>
        </w:rPr>
        <w:t>12%</w:t>
      </w:r>
      <w:r>
        <w:rPr>
          <w:sz w:val="27"/>
          <w:szCs w:val="27"/>
          <w:lang w:val="uk-UA"/>
        </w:rPr>
        <w:t xml:space="preserve">), </w:t>
      </w:r>
      <w:r w:rsidRPr="0026518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265184">
        <w:rPr>
          <w:sz w:val="27"/>
          <w:szCs w:val="27"/>
          <w:lang w:val="uk-UA"/>
        </w:rPr>
        <w:t>правоосвітньої</w:t>
      </w:r>
      <w:proofErr w:type="spellEnd"/>
      <w:r w:rsidRPr="00265184">
        <w:rPr>
          <w:sz w:val="27"/>
          <w:szCs w:val="27"/>
          <w:lang w:val="uk-UA"/>
        </w:rPr>
        <w:t xml:space="preserve"> діяльності</w:t>
      </w:r>
      <w:r>
        <w:rPr>
          <w:sz w:val="27"/>
          <w:szCs w:val="27"/>
          <w:lang w:val="uk-UA"/>
        </w:rPr>
        <w:t xml:space="preserve">, </w:t>
      </w:r>
      <w:r w:rsidRPr="0026518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</w:t>
      </w:r>
      <w:r w:rsidRPr="00265184">
        <w:rPr>
          <w:sz w:val="27"/>
          <w:szCs w:val="27"/>
          <w:lang w:val="uk-UA"/>
        </w:rPr>
        <w:lastRenderedPageBreak/>
        <w:t>цивільного, фінансового законодавства та законодавства з питань земельних відносин</w:t>
      </w:r>
      <w:r>
        <w:rPr>
          <w:sz w:val="27"/>
          <w:szCs w:val="27"/>
          <w:lang w:val="uk-UA"/>
        </w:rPr>
        <w:t xml:space="preserve">, </w:t>
      </w:r>
      <w:r w:rsidRPr="0026518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7"/>
          <w:szCs w:val="27"/>
          <w:lang w:val="uk-UA"/>
        </w:rPr>
        <w:t>,</w:t>
      </w:r>
      <w:r w:rsidRPr="00265184">
        <w:rPr>
          <w:sz w:val="27"/>
          <w:szCs w:val="27"/>
          <w:lang w:val="uk-UA"/>
        </w:rPr>
        <w:t xml:space="preserve"> Департамент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міжнародного права, повернення активів та відшкодування втрат, завданих тимчасовою окупацією Автономної Республіки Крим</w:t>
      </w:r>
      <w:r>
        <w:rPr>
          <w:sz w:val="27"/>
          <w:szCs w:val="27"/>
          <w:lang w:val="uk-UA"/>
        </w:rPr>
        <w:t xml:space="preserve">, </w:t>
      </w:r>
      <w:r w:rsidRPr="0026518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нотаріату та фінансового моніторингу</w:t>
      </w:r>
      <w:r>
        <w:rPr>
          <w:sz w:val="27"/>
          <w:szCs w:val="27"/>
          <w:lang w:val="uk-UA"/>
        </w:rPr>
        <w:t xml:space="preserve">, </w:t>
      </w:r>
      <w:r w:rsidRPr="0026518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судової роботи та експертного забезпечення правосуддя </w:t>
      </w:r>
      <w:r>
        <w:rPr>
          <w:sz w:val="27"/>
          <w:szCs w:val="27"/>
          <w:lang w:val="uk-UA"/>
        </w:rPr>
        <w:t xml:space="preserve">(по </w:t>
      </w:r>
      <w:r w:rsidRPr="00265184">
        <w:rPr>
          <w:b/>
          <w:sz w:val="27"/>
          <w:szCs w:val="27"/>
          <w:lang w:val="uk-UA"/>
        </w:rPr>
        <w:t>2</w:t>
      </w:r>
      <w:r w:rsidRPr="00265184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265184">
        <w:rPr>
          <w:sz w:val="27"/>
          <w:szCs w:val="27"/>
          <w:lang w:val="uk-UA"/>
        </w:rPr>
        <w:t xml:space="preserve"> </w:t>
      </w:r>
      <w:r w:rsidRPr="00265184">
        <w:rPr>
          <w:b/>
          <w:sz w:val="27"/>
          <w:szCs w:val="27"/>
          <w:lang w:val="uk-UA"/>
        </w:rPr>
        <w:t>8%</w:t>
      </w:r>
      <w:r>
        <w:rPr>
          <w:sz w:val="27"/>
          <w:szCs w:val="27"/>
          <w:lang w:val="uk-UA"/>
        </w:rPr>
        <w:t xml:space="preserve">), </w:t>
      </w:r>
      <w:r w:rsidRPr="0026518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65184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265184">
        <w:rPr>
          <w:b/>
          <w:sz w:val="27"/>
          <w:szCs w:val="27"/>
          <w:lang w:val="uk-UA"/>
        </w:rPr>
        <w:t>1</w:t>
      </w:r>
      <w:r w:rsidRPr="00265184">
        <w:rPr>
          <w:sz w:val="27"/>
          <w:szCs w:val="27"/>
          <w:lang w:val="uk-UA"/>
        </w:rPr>
        <w:t xml:space="preserve"> запит або </w:t>
      </w:r>
      <w:r w:rsidRPr="00265184">
        <w:rPr>
          <w:b/>
          <w:sz w:val="27"/>
          <w:szCs w:val="27"/>
          <w:lang w:val="uk-UA"/>
        </w:rPr>
        <w:t>4%</w:t>
      </w:r>
      <w:r>
        <w:rPr>
          <w:sz w:val="27"/>
          <w:szCs w:val="27"/>
          <w:lang w:val="uk-UA"/>
        </w:rPr>
        <w:t>).</w:t>
      </w:r>
    </w:p>
    <w:p w:rsidR="00BC5F29" w:rsidRPr="003D16D0" w:rsidRDefault="00265184" w:rsidP="003D16D0">
      <w:pPr>
        <w:pStyle w:val="1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265184">
        <w:rPr>
          <w:sz w:val="27"/>
          <w:szCs w:val="27"/>
          <w:lang w:val="uk-UA"/>
        </w:rPr>
        <w:drawing>
          <wp:inline distT="0" distB="0" distL="0" distR="0">
            <wp:extent cx="4695825" cy="8220076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C5F29" w:rsidRPr="000222BB" w:rsidRDefault="00265184" w:rsidP="008F2297">
      <w:pPr>
        <w:pStyle w:val="1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>25</w:t>
      </w:r>
      <w:r w:rsidR="00BC5F29"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="00BC5F29" w:rsidRPr="000222BB">
        <w:rPr>
          <w:b/>
          <w:sz w:val="27"/>
          <w:szCs w:val="27"/>
          <w:lang w:val="uk-UA"/>
        </w:rPr>
        <w:t xml:space="preserve"> на інформацію розглянут</w:t>
      </w:r>
      <w:r w:rsidR="00BC5F29">
        <w:rPr>
          <w:b/>
          <w:sz w:val="27"/>
          <w:szCs w:val="27"/>
          <w:lang w:val="uk-UA"/>
        </w:rPr>
        <w:t>о</w:t>
      </w:r>
      <w:r w:rsidR="00BC5F29" w:rsidRPr="000222BB">
        <w:rPr>
          <w:b/>
          <w:sz w:val="27"/>
          <w:szCs w:val="27"/>
          <w:lang w:val="uk-UA"/>
        </w:rPr>
        <w:t xml:space="preserve"> у встановлений законодавством строк, у тому числі:</w:t>
      </w:r>
    </w:p>
    <w:p w:rsidR="00BC5F29" w:rsidRPr="000222BB" w:rsidRDefault="00BC5F29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042D5A">
        <w:rPr>
          <w:b/>
          <w:sz w:val="27"/>
          <w:szCs w:val="27"/>
          <w:lang w:val="uk-UA"/>
        </w:rPr>
        <w:t>18</w:t>
      </w:r>
      <w:r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14080F">
        <w:rPr>
          <w:b/>
          <w:sz w:val="27"/>
          <w:szCs w:val="27"/>
          <w:lang w:val="uk-UA"/>
        </w:rPr>
        <w:t>72</w:t>
      </w:r>
      <w:r w:rsidRPr="000222BB">
        <w:rPr>
          <w:b/>
          <w:sz w:val="27"/>
          <w:szCs w:val="27"/>
          <w:lang w:val="uk-UA"/>
        </w:rPr>
        <w:t>%), із них:</w:t>
      </w:r>
    </w:p>
    <w:p w:rsidR="00BC5F29" w:rsidRPr="000222BB" w:rsidRDefault="00BC5F29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2F5E1B">
        <w:rPr>
          <w:b/>
          <w:sz w:val="27"/>
          <w:szCs w:val="27"/>
          <w:lang w:val="uk-UA"/>
        </w:rPr>
        <w:t>3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247221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2F5E1B">
        <w:rPr>
          <w:b/>
          <w:sz w:val="27"/>
          <w:szCs w:val="27"/>
          <w:lang w:val="uk-UA"/>
        </w:rPr>
        <w:t>12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BC5F29" w:rsidRDefault="00BC5F29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2F5E1B">
        <w:rPr>
          <w:b/>
          <w:sz w:val="27"/>
          <w:szCs w:val="27"/>
          <w:lang w:val="uk-UA"/>
        </w:rPr>
        <w:t>15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2F5E1B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2F5E1B">
        <w:rPr>
          <w:b/>
          <w:sz w:val="27"/>
          <w:szCs w:val="27"/>
          <w:lang w:val="uk-UA"/>
        </w:rPr>
        <w:t>60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BC5F29" w:rsidRPr="000222BB" w:rsidRDefault="00BC5F29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2F5E1B">
        <w:rPr>
          <w:b/>
          <w:sz w:val="27"/>
          <w:szCs w:val="27"/>
          <w:lang w:val="uk-UA"/>
        </w:rPr>
        <w:t>7</w:t>
      </w:r>
      <w:r w:rsidRPr="000222BB">
        <w:rPr>
          <w:b/>
          <w:sz w:val="27"/>
          <w:szCs w:val="27"/>
          <w:lang w:val="uk-UA"/>
        </w:rPr>
        <w:t xml:space="preserve"> запитів (</w:t>
      </w:r>
      <w:r w:rsidR="002F5E1B">
        <w:rPr>
          <w:b/>
          <w:sz w:val="27"/>
          <w:szCs w:val="27"/>
          <w:lang w:val="uk-UA"/>
        </w:rPr>
        <w:t>28</w:t>
      </w:r>
      <w:r w:rsidRPr="000222BB">
        <w:rPr>
          <w:b/>
          <w:sz w:val="27"/>
          <w:szCs w:val="27"/>
          <w:lang w:val="uk-UA"/>
        </w:rPr>
        <w:t xml:space="preserve">%), із них: </w:t>
      </w:r>
    </w:p>
    <w:p w:rsidR="00BC5F29" w:rsidRDefault="00BC5F29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053C4E" w:rsidRPr="00053C4E">
        <w:rPr>
          <w:b/>
          <w:sz w:val="27"/>
          <w:szCs w:val="27"/>
          <w:lang w:val="uk-UA"/>
        </w:rPr>
        <w:t>1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 (</w:t>
      </w:r>
      <w:r w:rsidR="002F5E1B">
        <w:rPr>
          <w:b/>
          <w:sz w:val="27"/>
          <w:szCs w:val="27"/>
          <w:lang w:val="uk-UA"/>
        </w:rPr>
        <w:t>4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BC5F29" w:rsidRDefault="00BC5F29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="002F5E1B">
        <w:rPr>
          <w:b/>
          <w:sz w:val="27"/>
          <w:szCs w:val="27"/>
          <w:lang w:val="uk-UA"/>
        </w:rPr>
        <w:t>6</w:t>
      </w:r>
      <w:r w:rsidR="00053C4E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запитів</w:t>
      </w:r>
      <w:r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(</w:t>
      </w:r>
      <w:r w:rsidR="00053C4E">
        <w:rPr>
          <w:b/>
          <w:sz w:val="27"/>
          <w:szCs w:val="27"/>
          <w:lang w:val="uk-UA"/>
        </w:rPr>
        <w:t>24</w:t>
      </w:r>
      <w:r w:rsidRPr="000222BB">
        <w:rPr>
          <w:b/>
          <w:sz w:val="27"/>
          <w:szCs w:val="27"/>
          <w:lang w:val="uk-UA"/>
        </w:rPr>
        <w:t>%</w:t>
      </w:r>
      <w:r w:rsidR="00900012">
        <w:rPr>
          <w:sz w:val="27"/>
          <w:szCs w:val="27"/>
          <w:lang w:val="uk-UA"/>
        </w:rPr>
        <w:t>).</w:t>
      </w:r>
    </w:p>
    <w:p w:rsidR="00C036AA" w:rsidRPr="000222BB" w:rsidRDefault="00C036AA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BC5F29" w:rsidRPr="000222BB" w:rsidRDefault="00265184" w:rsidP="008F2297">
      <w:pPr>
        <w:ind w:firstLine="709"/>
        <w:jc w:val="both"/>
        <w:rPr>
          <w:sz w:val="27"/>
          <w:szCs w:val="27"/>
          <w:lang w:val="uk-UA"/>
        </w:rPr>
      </w:pPr>
      <w:r w:rsidRPr="00265184">
        <w:rPr>
          <w:sz w:val="27"/>
          <w:szCs w:val="27"/>
          <w:lang w:val="uk-UA"/>
        </w:rPr>
        <w:drawing>
          <wp:inline distT="0" distB="0" distL="0" distR="0">
            <wp:extent cx="6152515" cy="5648960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</w:t>
      </w:r>
      <w:proofErr w:type="spellStart"/>
      <w:r w:rsidRPr="000222BB">
        <w:rPr>
          <w:b/>
          <w:sz w:val="27"/>
          <w:szCs w:val="27"/>
          <w:lang w:val="uk-UA"/>
        </w:rPr>
        <w:t>правоосвітньої</w:t>
      </w:r>
      <w:proofErr w:type="spellEnd"/>
      <w:r w:rsidRPr="000222BB">
        <w:rPr>
          <w:b/>
          <w:sz w:val="27"/>
          <w:szCs w:val="27"/>
          <w:lang w:val="uk-UA"/>
        </w:rPr>
        <w:t xml:space="preserve"> діяльності»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053C4E" w:rsidRPr="002F5E1B" w:rsidRDefault="00053C4E" w:rsidP="00053C4E">
      <w:pPr>
        <w:ind w:left="-142"/>
        <w:rPr>
          <w:b/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 xml:space="preserve">Директор Департаменту реєстрації </w:t>
      </w:r>
    </w:p>
    <w:p w:rsidR="00053C4E" w:rsidRPr="002F5E1B" w:rsidRDefault="00053C4E" w:rsidP="00053C4E">
      <w:pPr>
        <w:ind w:left="-142"/>
        <w:rPr>
          <w:b/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2F5E1B" w:rsidRDefault="00053C4E" w:rsidP="00053C4E">
      <w:pPr>
        <w:ind w:left="-142"/>
        <w:rPr>
          <w:sz w:val="27"/>
          <w:szCs w:val="27"/>
          <w:lang w:val="uk-UA"/>
        </w:rPr>
      </w:pPr>
      <w:proofErr w:type="spellStart"/>
      <w:r w:rsidRPr="002F5E1B">
        <w:rPr>
          <w:b/>
          <w:sz w:val="27"/>
          <w:szCs w:val="27"/>
          <w:lang w:val="uk-UA"/>
        </w:rPr>
        <w:t>правоосвітньої</w:t>
      </w:r>
      <w:proofErr w:type="spellEnd"/>
      <w:r w:rsidRPr="002F5E1B">
        <w:rPr>
          <w:b/>
          <w:sz w:val="27"/>
          <w:szCs w:val="27"/>
          <w:lang w:val="uk-UA"/>
        </w:rPr>
        <w:t xml:space="preserve"> діяльності</w:t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="002F5E1B">
        <w:rPr>
          <w:b/>
          <w:sz w:val="27"/>
          <w:szCs w:val="27"/>
          <w:lang w:val="uk-UA"/>
        </w:rPr>
        <w:t xml:space="preserve"> </w:t>
      </w:r>
      <w:r w:rsidRPr="002F5E1B">
        <w:rPr>
          <w:b/>
          <w:sz w:val="27"/>
          <w:szCs w:val="27"/>
          <w:lang w:val="uk-UA"/>
        </w:rPr>
        <w:t xml:space="preserve">  Н.А. </w:t>
      </w:r>
      <w:proofErr w:type="spellStart"/>
      <w:r w:rsidRPr="002F5E1B">
        <w:rPr>
          <w:b/>
          <w:sz w:val="27"/>
          <w:szCs w:val="27"/>
          <w:lang w:val="uk-UA"/>
        </w:rPr>
        <w:t>Железняк</w:t>
      </w:r>
      <w:proofErr w:type="spellEnd"/>
    </w:p>
    <w:p w:rsidR="00BC5F29" w:rsidRPr="002F5E1B" w:rsidRDefault="002F5E1B" w:rsidP="00040A50">
      <w:pPr>
        <w:ind w:left="-142"/>
        <w:rPr>
          <w:sz w:val="27"/>
          <w:szCs w:val="27"/>
          <w:lang w:val="uk-UA"/>
        </w:rPr>
      </w:pPr>
      <w:r w:rsidRPr="002F5E1B">
        <w:rPr>
          <w:sz w:val="27"/>
          <w:szCs w:val="27"/>
          <w:lang w:val="uk-UA"/>
        </w:rPr>
        <w:t>15</w:t>
      </w:r>
      <w:r w:rsidR="00BC5F29" w:rsidRPr="002F5E1B">
        <w:rPr>
          <w:sz w:val="27"/>
          <w:szCs w:val="27"/>
          <w:lang w:val="uk-UA"/>
        </w:rPr>
        <w:t>.</w:t>
      </w:r>
      <w:r w:rsidRPr="002F5E1B">
        <w:rPr>
          <w:sz w:val="27"/>
          <w:szCs w:val="27"/>
          <w:lang w:val="uk-UA"/>
        </w:rPr>
        <w:t>10</w:t>
      </w:r>
      <w:r w:rsidR="00BC5F29" w:rsidRPr="002F5E1B">
        <w:rPr>
          <w:sz w:val="27"/>
          <w:szCs w:val="27"/>
          <w:lang w:val="uk-UA"/>
        </w:rPr>
        <w:t>.2014</w:t>
      </w:r>
    </w:p>
    <w:sectPr w:rsidR="00BC5F29" w:rsidRPr="002F5E1B" w:rsidSect="00247221">
      <w:pgSz w:w="11906" w:h="16838"/>
      <w:pgMar w:top="567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43D" w:rsidRDefault="0056743D" w:rsidP="00BB617A">
      <w:r>
        <w:separator/>
      </w:r>
    </w:p>
  </w:endnote>
  <w:endnote w:type="continuationSeparator" w:id="0">
    <w:p w:rsidR="0056743D" w:rsidRDefault="0056743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43D" w:rsidRDefault="0056743D" w:rsidP="00BB617A">
      <w:r>
        <w:separator/>
      </w:r>
    </w:p>
  </w:footnote>
  <w:footnote w:type="continuationSeparator" w:id="0">
    <w:p w:rsidR="0056743D" w:rsidRDefault="0056743D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13050"/>
    <w:multiLevelType w:val="hybridMultilevel"/>
    <w:tmpl w:val="C5921298"/>
    <w:lvl w:ilvl="0" w:tplc="D87EFED4">
      <w:start w:val="3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07D"/>
    <w:rsid w:val="0001542D"/>
    <w:rsid w:val="00016AC5"/>
    <w:rsid w:val="00020260"/>
    <w:rsid w:val="000222BB"/>
    <w:rsid w:val="00022EA2"/>
    <w:rsid w:val="0002324C"/>
    <w:rsid w:val="000238C8"/>
    <w:rsid w:val="00024C0C"/>
    <w:rsid w:val="00025AD0"/>
    <w:rsid w:val="00026758"/>
    <w:rsid w:val="00027FE8"/>
    <w:rsid w:val="0003049B"/>
    <w:rsid w:val="00030B20"/>
    <w:rsid w:val="0003105F"/>
    <w:rsid w:val="00032DF2"/>
    <w:rsid w:val="00032EF9"/>
    <w:rsid w:val="00035A3E"/>
    <w:rsid w:val="00035C76"/>
    <w:rsid w:val="000361D7"/>
    <w:rsid w:val="00040A50"/>
    <w:rsid w:val="0004107B"/>
    <w:rsid w:val="00042D5A"/>
    <w:rsid w:val="000455E2"/>
    <w:rsid w:val="000456A1"/>
    <w:rsid w:val="00046660"/>
    <w:rsid w:val="00050090"/>
    <w:rsid w:val="00051221"/>
    <w:rsid w:val="000534B1"/>
    <w:rsid w:val="00053C4E"/>
    <w:rsid w:val="00053D72"/>
    <w:rsid w:val="00054950"/>
    <w:rsid w:val="00055CC6"/>
    <w:rsid w:val="000564AF"/>
    <w:rsid w:val="00060A6F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67AD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09AC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14B7"/>
    <w:rsid w:val="00102D24"/>
    <w:rsid w:val="00102D44"/>
    <w:rsid w:val="00105975"/>
    <w:rsid w:val="00106CC5"/>
    <w:rsid w:val="001079F3"/>
    <w:rsid w:val="00110543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27A2D"/>
    <w:rsid w:val="00131250"/>
    <w:rsid w:val="001331C9"/>
    <w:rsid w:val="0013335D"/>
    <w:rsid w:val="0013530C"/>
    <w:rsid w:val="00136427"/>
    <w:rsid w:val="00140100"/>
    <w:rsid w:val="0014080F"/>
    <w:rsid w:val="00142B21"/>
    <w:rsid w:val="00142DEC"/>
    <w:rsid w:val="00145799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A7941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56CE"/>
    <w:rsid w:val="001F6419"/>
    <w:rsid w:val="001F7A48"/>
    <w:rsid w:val="00200246"/>
    <w:rsid w:val="0020095E"/>
    <w:rsid w:val="0020394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4397"/>
    <w:rsid w:val="0022607E"/>
    <w:rsid w:val="00227B7F"/>
    <w:rsid w:val="0023053A"/>
    <w:rsid w:val="00232ABE"/>
    <w:rsid w:val="00232AD8"/>
    <w:rsid w:val="00234B17"/>
    <w:rsid w:val="0023533C"/>
    <w:rsid w:val="0023575C"/>
    <w:rsid w:val="0023716B"/>
    <w:rsid w:val="00240700"/>
    <w:rsid w:val="00240890"/>
    <w:rsid w:val="002449C5"/>
    <w:rsid w:val="0024590F"/>
    <w:rsid w:val="002468EA"/>
    <w:rsid w:val="00247221"/>
    <w:rsid w:val="00250D3E"/>
    <w:rsid w:val="00251B7A"/>
    <w:rsid w:val="00252E76"/>
    <w:rsid w:val="0025599F"/>
    <w:rsid w:val="002559C4"/>
    <w:rsid w:val="00256C51"/>
    <w:rsid w:val="00256DAA"/>
    <w:rsid w:val="00256E6E"/>
    <w:rsid w:val="00261C73"/>
    <w:rsid w:val="002626D7"/>
    <w:rsid w:val="00265184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95ECA"/>
    <w:rsid w:val="002A4B96"/>
    <w:rsid w:val="002B0A57"/>
    <w:rsid w:val="002B1301"/>
    <w:rsid w:val="002B3C82"/>
    <w:rsid w:val="002B68F0"/>
    <w:rsid w:val="002C0327"/>
    <w:rsid w:val="002C04CA"/>
    <w:rsid w:val="002C09B0"/>
    <w:rsid w:val="002C1346"/>
    <w:rsid w:val="002C26E1"/>
    <w:rsid w:val="002C2779"/>
    <w:rsid w:val="002C5B0C"/>
    <w:rsid w:val="002C7C4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5E1B"/>
    <w:rsid w:val="002F6244"/>
    <w:rsid w:val="002F75AC"/>
    <w:rsid w:val="002F7938"/>
    <w:rsid w:val="00300919"/>
    <w:rsid w:val="00305DF1"/>
    <w:rsid w:val="003061A3"/>
    <w:rsid w:val="00306508"/>
    <w:rsid w:val="00306F2D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2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1F20"/>
    <w:rsid w:val="003B54B5"/>
    <w:rsid w:val="003B7E71"/>
    <w:rsid w:val="003C0576"/>
    <w:rsid w:val="003C079D"/>
    <w:rsid w:val="003C25A1"/>
    <w:rsid w:val="003C31DE"/>
    <w:rsid w:val="003C5000"/>
    <w:rsid w:val="003D0846"/>
    <w:rsid w:val="003D0FA3"/>
    <w:rsid w:val="003D16D0"/>
    <w:rsid w:val="003D3DBA"/>
    <w:rsid w:val="003E09D6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2AE6"/>
    <w:rsid w:val="004366E2"/>
    <w:rsid w:val="00437077"/>
    <w:rsid w:val="004372A3"/>
    <w:rsid w:val="00437BC9"/>
    <w:rsid w:val="0044008C"/>
    <w:rsid w:val="004402C7"/>
    <w:rsid w:val="004415E2"/>
    <w:rsid w:val="00441ED0"/>
    <w:rsid w:val="00441F6B"/>
    <w:rsid w:val="00442858"/>
    <w:rsid w:val="00443AAF"/>
    <w:rsid w:val="004449A8"/>
    <w:rsid w:val="00444B5C"/>
    <w:rsid w:val="004459F3"/>
    <w:rsid w:val="00445D4C"/>
    <w:rsid w:val="00451557"/>
    <w:rsid w:val="00453E7D"/>
    <w:rsid w:val="00454A93"/>
    <w:rsid w:val="00455336"/>
    <w:rsid w:val="00457ED1"/>
    <w:rsid w:val="0046068D"/>
    <w:rsid w:val="00461BBF"/>
    <w:rsid w:val="00463B56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77AD5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0FAE"/>
    <w:rsid w:val="005015DC"/>
    <w:rsid w:val="00501E42"/>
    <w:rsid w:val="005021E5"/>
    <w:rsid w:val="00506202"/>
    <w:rsid w:val="00506CD6"/>
    <w:rsid w:val="00511B38"/>
    <w:rsid w:val="00512715"/>
    <w:rsid w:val="00514672"/>
    <w:rsid w:val="00516CD3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22E2"/>
    <w:rsid w:val="00562304"/>
    <w:rsid w:val="00562718"/>
    <w:rsid w:val="00562BB5"/>
    <w:rsid w:val="005641CA"/>
    <w:rsid w:val="00564F48"/>
    <w:rsid w:val="0056517E"/>
    <w:rsid w:val="00565DAF"/>
    <w:rsid w:val="00567023"/>
    <w:rsid w:val="0056743D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171A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21F"/>
    <w:rsid w:val="005A5914"/>
    <w:rsid w:val="005A5BEC"/>
    <w:rsid w:val="005A7A82"/>
    <w:rsid w:val="005A7EAF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440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881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0AF"/>
    <w:rsid w:val="00654F10"/>
    <w:rsid w:val="00656BAD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5950"/>
    <w:rsid w:val="006A6731"/>
    <w:rsid w:val="006A6E24"/>
    <w:rsid w:val="006B1327"/>
    <w:rsid w:val="006B3EA2"/>
    <w:rsid w:val="006B4244"/>
    <w:rsid w:val="006B78D5"/>
    <w:rsid w:val="006C0295"/>
    <w:rsid w:val="006C048C"/>
    <w:rsid w:val="006C6EE4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31B5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48C2"/>
    <w:rsid w:val="00746097"/>
    <w:rsid w:val="00746C7D"/>
    <w:rsid w:val="00747749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7B4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4E4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55D0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5401"/>
    <w:rsid w:val="008C1F70"/>
    <w:rsid w:val="008C282D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012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4725"/>
    <w:rsid w:val="00927402"/>
    <w:rsid w:val="009277AC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8A7"/>
    <w:rsid w:val="00957E99"/>
    <w:rsid w:val="0096087D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3E07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1DD"/>
    <w:rsid w:val="009F1375"/>
    <w:rsid w:val="009F193E"/>
    <w:rsid w:val="009F5D0F"/>
    <w:rsid w:val="009F6B16"/>
    <w:rsid w:val="009F7948"/>
    <w:rsid w:val="00A01026"/>
    <w:rsid w:val="00A04BAA"/>
    <w:rsid w:val="00A078E3"/>
    <w:rsid w:val="00A108CA"/>
    <w:rsid w:val="00A12601"/>
    <w:rsid w:val="00A142E8"/>
    <w:rsid w:val="00A14D1E"/>
    <w:rsid w:val="00A158A4"/>
    <w:rsid w:val="00A162CD"/>
    <w:rsid w:val="00A16507"/>
    <w:rsid w:val="00A23631"/>
    <w:rsid w:val="00A23FC5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316"/>
    <w:rsid w:val="00A44047"/>
    <w:rsid w:val="00A467A8"/>
    <w:rsid w:val="00A51FFE"/>
    <w:rsid w:val="00A53A2E"/>
    <w:rsid w:val="00A561A8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006B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B3F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44E0"/>
    <w:rsid w:val="00B252DD"/>
    <w:rsid w:val="00B27C7E"/>
    <w:rsid w:val="00B30A4E"/>
    <w:rsid w:val="00B30C66"/>
    <w:rsid w:val="00B32B18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64E2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5F29"/>
    <w:rsid w:val="00BC67D6"/>
    <w:rsid w:val="00BD03C5"/>
    <w:rsid w:val="00BD0569"/>
    <w:rsid w:val="00BD0CA0"/>
    <w:rsid w:val="00BD3899"/>
    <w:rsid w:val="00BD4AEC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36AA"/>
    <w:rsid w:val="00C0528D"/>
    <w:rsid w:val="00C06B81"/>
    <w:rsid w:val="00C12AE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A0F"/>
    <w:rsid w:val="00C30E1A"/>
    <w:rsid w:val="00C3680F"/>
    <w:rsid w:val="00C42A03"/>
    <w:rsid w:val="00C4327A"/>
    <w:rsid w:val="00C44C83"/>
    <w:rsid w:val="00C47679"/>
    <w:rsid w:val="00C50831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0E0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CF7FFE"/>
    <w:rsid w:val="00D036B5"/>
    <w:rsid w:val="00D03F7C"/>
    <w:rsid w:val="00D103E8"/>
    <w:rsid w:val="00D17A2C"/>
    <w:rsid w:val="00D21724"/>
    <w:rsid w:val="00D229E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37E6E"/>
    <w:rsid w:val="00D4024D"/>
    <w:rsid w:val="00D40D24"/>
    <w:rsid w:val="00D42269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705CE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A6860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828"/>
    <w:rsid w:val="00DE4B17"/>
    <w:rsid w:val="00DE5DDB"/>
    <w:rsid w:val="00DE67F0"/>
    <w:rsid w:val="00DF2678"/>
    <w:rsid w:val="00DF3446"/>
    <w:rsid w:val="00DF40F7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08A3"/>
    <w:rsid w:val="00ED28D6"/>
    <w:rsid w:val="00ED2C77"/>
    <w:rsid w:val="00ED4811"/>
    <w:rsid w:val="00ED67A4"/>
    <w:rsid w:val="00ED7628"/>
    <w:rsid w:val="00EE4AD7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1D8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C2C"/>
    <w:rsid w:val="00F1784B"/>
    <w:rsid w:val="00F21790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39E6"/>
    <w:rsid w:val="00F73A16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608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4F9F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5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rsid w:val="000C353E"/>
    <w:rPr>
      <w:rFonts w:cs="Times New Roman"/>
    </w:rPr>
  </w:style>
  <w:style w:type="character" w:customStyle="1" w:styleId="atitle">
    <w:name w:val="atitle"/>
    <w:basedOn w:val="a0"/>
    <w:rsid w:val="000C353E"/>
    <w:rPr>
      <w:rFonts w:cs="Times New Roman"/>
    </w:rPr>
  </w:style>
  <w:style w:type="paragraph" w:styleId="a4">
    <w:name w:val="Balloon Text"/>
    <w:basedOn w:val="a"/>
    <w:link w:val="a5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у1"/>
    <w:basedOn w:val="a"/>
    <w:rsid w:val="000C311D"/>
    <w:pPr>
      <w:ind w:left="720"/>
    </w:pPr>
  </w:style>
  <w:style w:type="paragraph" w:customStyle="1" w:styleId="a6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semiHidden/>
    <w:rsid w:val="00BB617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semiHidden/>
    <w:rsid w:val="00BB617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052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'01.09.2014-05.09.2014'!$B$102:$B$103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'01.09.2014-05.09.2014'!$C$102:$C$103</c:f>
              <c:numCache>
                <c:formatCode>General</c:formatCode>
                <c:ptCount val="2"/>
                <c:pt idx="0">
                  <c:v>16</c:v>
                </c:pt>
                <c:pt idx="1">
                  <c:v>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8057E-3"/>
          <c:w val="0.6694557399392016"/>
          <c:h val="0.39428024510211873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511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652E-2"/>
                  <c:y val="1.3396352978813428E-2"/>
                </c:manualLayout>
              </c:layout>
              <c:showPercent val="1"/>
            </c:dLbl>
            <c:dLbl>
              <c:idx val="5"/>
              <c:layout>
                <c:manualLayout>
                  <c:x val="-5.2877609365766402E-2"/>
                  <c:y val="-1.6130481529476468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2065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'01.09.2014-05.09.2014'!$G$6:$G$15</c:f>
              <c:strCache>
                <c:ptCount val="10"/>
                <c:pt idx="0">
                  <c:v>Департамент конституційного, адміністративного та соціального законодавства - 6 запитів або 24%</c:v>
                </c:pt>
                <c:pt idx="1">
                  <c:v>Департамент організаційного та ресурсного забезпечення - 3 запити або 12% (з них всі запити надіслано для розгляду належним розпорядникам інформації)</c:v>
                </c:pt>
                <c:pt idx="2">
                  <c:v>Секретаріат Урядового уповноваженого у справах Європейського суду з прав людини - 3 запити або 12%</c:v>
                </c:pt>
                <c:pt idx="3">
                  <c:v>Департамент реєстрації та систематизації нормативних актів, правоосвітньої діяльності - 2 запити або 8%</c:v>
                </c:pt>
                <c:pt idx="4">
                  <c:v>Департамент цивільного, фінансового законодавства та законодавства з питань земельних відносин - 2 запити або 8%</c:v>
                </c:pt>
                <c:pt idx="5">
                  <c:v>Департамент планово-фінансової діяльності, бухгалтерського обліку та звітності - 2 запити або 8%</c:v>
                </c:pt>
                <c:pt idx="6">
                  <c:v>Департамент міжнародного права, повернення активів та відшкодування втрат, завданих тимчасовою окупацією Автономної Республіки Крим - 2 запити або 8%</c:v>
                </c:pt>
                <c:pt idx="7">
                  <c:v>Департамент нотаріату та фінансового моніторингу  - 2 запити або 8%</c:v>
                </c:pt>
                <c:pt idx="8">
                  <c:v>Департамент судової роботи та експертного забезпечення правосуддя - 2 запити або 8%</c:v>
                </c:pt>
                <c:pt idx="9">
                  <c:v>Департамент взаємодії з органами влади - 1 запит або 4% </c:v>
                </c:pt>
              </c:strCache>
            </c:strRef>
          </c:cat>
          <c:val>
            <c:numRef>
              <c:f>'01.09.2014-05.09.2014'!$H$6:$H$15</c:f>
              <c:numCache>
                <c:formatCode>General</c:formatCode>
                <c:ptCount val="10"/>
                <c:pt idx="0">
                  <c:v>6</c:v>
                </c:pt>
                <c:pt idx="1">
                  <c:v>3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74"/>
          <c:h val="0.6625488960660113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5.3490511961867019E-3"/>
                  <c:y val="0.20087160466444037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1375237578061372E-2"/>
                  <c:y val="5.1158018393240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9092074697559433E-2"/>
                  <c:y val="-1.397902726947873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('01.09.2014-05.09.2014'!$B$43:$B$44,'01.09.2014-05.09.2014'!$B$47,'01.09.2014-05.09.2014'!$B$50)</c:f>
              <c:strCache>
                <c:ptCount val="4"/>
                <c:pt idx="0">
                  <c:v>На 3 запити або 12% надано публічну інформацію</c:v>
                </c:pt>
                <c:pt idx="1">
                  <c:v>На 15 запитів або 60%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1 запит або 4%
</c:v>
                </c:pt>
                <c:pt idx="3">
                  <c:v>Надіслано за належністю до інших розпорядників інформації для розгляду та надання відповіді 
6 запитів або 24%</c:v>
                </c:pt>
              </c:strCache>
            </c:strRef>
          </c:cat>
          <c:val>
            <c:numRef>
              <c:f>('01.09.2014-05.09.2014'!$C$43:$C$44,'01.09.2014-05.09.2014'!$C$47,'01.09.2014-05.09.2014'!$C$50)</c:f>
              <c:numCache>
                <c:formatCode>General</c:formatCode>
                <c:ptCount val="4"/>
                <c:pt idx="0">
                  <c:v>3</c:v>
                </c:pt>
                <c:pt idx="1">
                  <c:v>15</c:v>
                </c:pt>
                <c:pt idx="2">
                  <c:v>1</c:v>
                </c:pt>
                <c:pt idx="3">
                  <c:v>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9513"/>
          <c:y val="0"/>
          <c:w val="0.33924175283111763"/>
          <c:h val="0.94366197183098588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1922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Прошу у рубриці «Запит на отримання публічної інформації»:</vt:lpstr>
      <vt:lpstr>Прошу у рубриці «Запит на отримання публічної інформації»:</vt:lpstr>
    </vt:vector>
  </TitlesOfParts>
  <Company>DG Win&amp;Soft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у рубриці «Запит на отримання публічної інформації»:</dc:title>
  <dc:creator>b.gandzyuk</dc:creator>
  <cp:lastModifiedBy>Юрій Савіцький (RMJ-HP49 - y.savitskiy)</cp:lastModifiedBy>
  <cp:revision>15</cp:revision>
  <cp:lastPrinted>2014-10-15T12:15:00Z</cp:lastPrinted>
  <dcterms:created xsi:type="dcterms:W3CDTF">2014-09-23T06:50:00Z</dcterms:created>
  <dcterms:modified xsi:type="dcterms:W3CDTF">2014-10-15T12:20:00Z</dcterms:modified>
</cp:coreProperties>
</file>