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05" w:rsidRDefault="00481005" w:rsidP="0048100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bookmarkStart w:id="0" w:name="_Hlk101386702"/>
    </w:p>
    <w:p w:rsidR="00481005" w:rsidRDefault="00481005" w:rsidP="0048100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481005" w:rsidRDefault="00481005" w:rsidP="0048100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481005" w:rsidRDefault="00481005" w:rsidP="0048100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481005" w:rsidRDefault="00481005" w:rsidP="0048100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481005" w:rsidRDefault="00481005" w:rsidP="0048100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481005" w:rsidRDefault="00481005" w:rsidP="0048100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713216" w:rsidRPr="00481005" w:rsidRDefault="00713216" w:rsidP="0048100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8100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 відмову у відкритті конституційного провадження у справі за конституційною скаргою Перець Наталії Миколаївни щодо відповідності Конституції України (конституційності) </w:t>
      </w:r>
      <w:r w:rsidRPr="004810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частини одинадцятої статті 284, </w:t>
      </w:r>
      <w:r w:rsidR="00E3102B" w:rsidRPr="004810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абзацу </w:t>
      </w:r>
      <w:r w:rsidRPr="004810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першого частини другої статті 392 Кримінального процесуального </w:t>
      </w:r>
      <w:r w:rsidR="004810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r w:rsidR="004810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4810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кодексу України</w:t>
      </w:r>
    </w:p>
    <w:bookmarkEnd w:id="0"/>
    <w:p w:rsidR="00713216" w:rsidRPr="00481005" w:rsidRDefault="00713216" w:rsidP="0048100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713216" w:rsidRPr="00481005" w:rsidRDefault="00713216" w:rsidP="00481005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48100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К и ї в </w:t>
      </w:r>
      <w:r w:rsidRPr="0048100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  <w:t>Справа № 3-116/2024(242/24)</w:t>
      </w:r>
    </w:p>
    <w:p w:rsidR="00713216" w:rsidRPr="00481005" w:rsidRDefault="00713216" w:rsidP="0048100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48100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10 липня 2024 року </w:t>
      </w:r>
    </w:p>
    <w:p w:rsidR="00713216" w:rsidRPr="00481005" w:rsidRDefault="006078F3" w:rsidP="0048100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48100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№ 129</w:t>
      </w:r>
      <w:r w:rsidR="00713216" w:rsidRPr="0048100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-1(І)/2024</w:t>
      </w:r>
    </w:p>
    <w:p w:rsidR="00713216" w:rsidRPr="00481005" w:rsidRDefault="00713216" w:rsidP="004810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713216" w:rsidRPr="00481005" w:rsidRDefault="00713216" w:rsidP="004810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Перша колегія суддів Першого сенату Конституційного Суду України у складі:</w:t>
      </w:r>
    </w:p>
    <w:p w:rsidR="00713216" w:rsidRPr="00481005" w:rsidRDefault="00713216" w:rsidP="004810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13216" w:rsidRPr="00481005" w:rsidRDefault="00713216" w:rsidP="004810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Колісник Віктор Павлович (голова засідання),</w:t>
      </w:r>
    </w:p>
    <w:p w:rsidR="00713216" w:rsidRPr="00481005" w:rsidRDefault="00713216" w:rsidP="004810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Кичун</w:t>
      </w:r>
      <w:proofErr w:type="spellEnd"/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Віктор Іванович,</w:t>
      </w:r>
    </w:p>
    <w:p w:rsidR="00713216" w:rsidRPr="00481005" w:rsidRDefault="00713216" w:rsidP="004810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Філюк</w:t>
      </w:r>
      <w:proofErr w:type="spellEnd"/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Петро </w:t>
      </w:r>
      <w:proofErr w:type="spellStart"/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Тодосьович</w:t>
      </w:r>
      <w:proofErr w:type="spellEnd"/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(доповідач),</w:t>
      </w:r>
    </w:p>
    <w:p w:rsidR="00713216" w:rsidRPr="00481005" w:rsidRDefault="00713216" w:rsidP="004810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713216" w:rsidRPr="00481005" w:rsidRDefault="00713216" w:rsidP="0048100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Pr="0048100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Перець Наталії Миколаївни щодо відповідності Конституції України (конституційності)</w:t>
      </w:r>
      <w:r w:rsidR="0048100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br/>
      </w: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частини одинадцятої статті 284, </w:t>
      </w:r>
      <w:r w:rsidR="00E3102B"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абзацу </w:t>
      </w: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першого частини другої статті 392 Кримінального процесуального кодексу України.</w:t>
      </w:r>
    </w:p>
    <w:p w:rsidR="00713216" w:rsidRPr="00481005" w:rsidRDefault="00713216" w:rsidP="0048100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13216" w:rsidRPr="00481005" w:rsidRDefault="00713216" w:rsidP="0048100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Заслухавши суддю-доповідача </w:t>
      </w:r>
      <w:proofErr w:type="spellStart"/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Філюка</w:t>
      </w:r>
      <w:proofErr w:type="spellEnd"/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П.Т. та дослідивши матеріали справи, Перша колегія суддів Першого сенату Конституційного Суду України</w:t>
      </w:r>
    </w:p>
    <w:p w:rsidR="00C0009C" w:rsidRPr="00481005" w:rsidRDefault="00C0009C" w:rsidP="00481005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13216" w:rsidRPr="00481005" w:rsidRDefault="00713216" w:rsidP="0048100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810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 с т а н о в и л а:</w:t>
      </w:r>
    </w:p>
    <w:p w:rsidR="00713216" w:rsidRPr="00481005" w:rsidRDefault="00713216" w:rsidP="00481005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13216" w:rsidRPr="00481005" w:rsidRDefault="00713216" w:rsidP="0048100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</w:t>
      </w:r>
      <w:r w:rsidRPr="0048100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Перець Наталія Миколаївна</w:t>
      </w: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звернулася до Конституційного Суду України з клопотанням перевірити на відповідність Конституції України (конституційність) частину одинадцяту статті 284, </w:t>
      </w:r>
      <w:r w:rsidR="00E3102B"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абзац </w:t>
      </w: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перший </w:t>
      </w: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частини другої статті 392 Кримінального процесуального кодексу України</w:t>
      </w:r>
      <w:r w:rsid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(далі – Кодекс).</w:t>
      </w:r>
    </w:p>
    <w:p w:rsidR="00481005" w:rsidRDefault="00AC710E" w:rsidP="0048100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оспорюваних положень Кодексу:</w:t>
      </w:r>
    </w:p>
    <w:p w:rsidR="00481005" w:rsidRDefault="00481005" w:rsidP="0048100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="002D5610" w:rsidRPr="004810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„</w:t>
      </w:r>
      <w:r w:rsidR="002D5610" w:rsidRPr="0048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ухвала суду про закриття кримінального провадження може бути оскаржена в апеляційному порядку“ (</w:t>
      </w:r>
      <w:r w:rsidR="002D5610"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частина одинадцята статті 284</w:t>
      </w:r>
      <w:r w:rsidR="002D5610" w:rsidRPr="0048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);</w:t>
      </w:r>
    </w:p>
    <w:p w:rsidR="00AC710E" w:rsidRPr="00481005" w:rsidRDefault="00481005" w:rsidP="0048100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– </w:t>
      </w:r>
      <w:r w:rsidR="00AC710E"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„у</w:t>
      </w:r>
      <w:r w:rsidR="00AC710E" w:rsidRPr="0048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хвали, постановлені під час судового провадження в суді першої інстанції до ухвалення судових рішень, передбачених </w:t>
      </w:r>
      <w:hyperlink r:id="rId7" w:anchor="n3251" w:history="1">
        <w:r w:rsidR="00AC710E" w:rsidRPr="0048100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частиною першою</w:t>
        </w:r>
      </w:hyperlink>
      <w:r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AC710E" w:rsidRPr="0048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цієї статті, окремому оскарженню не підлягають, крім випадків, визначених цим Кодексом. Заперечення проти таких ухвал можуть бути включені до апеляційної скарги на судове рішення, передбачене</w:t>
      </w:r>
      <w:r w:rsidR="00656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hyperlink r:id="rId8" w:anchor="n3251" w:history="1">
        <w:r w:rsidR="00AC710E" w:rsidRPr="0048100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частиною першою</w:t>
        </w:r>
      </w:hyperlink>
      <w:r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AC710E" w:rsidRPr="0048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цієї статті</w:t>
      </w:r>
      <w:r w:rsidR="00AC710E"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2D5610"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E3102B"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абзац </w:t>
      </w:r>
      <w:r w:rsidR="002D5610"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перший частини другої статті 392).</w:t>
      </w:r>
    </w:p>
    <w:p w:rsidR="00F26937" w:rsidRPr="00481005" w:rsidRDefault="00713216" w:rsidP="0048100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Автор клопотання зазначає, що </w:t>
      </w:r>
      <w:r w:rsidR="002D5610"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частина одинадцята статті 284,</w:t>
      </w:r>
      <w:r w:rsid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E3102B"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абзац </w:t>
      </w:r>
      <w:r w:rsidR="002D5610"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перший частини другої статті 392 </w:t>
      </w:r>
      <w:r w:rsidR="00970BD2"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Кодекс</w:t>
      </w: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2D5610"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відповідають</w:t>
      </w:r>
      <w:r w:rsid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частині </w:t>
      </w:r>
      <w:r w:rsidR="00970BD2"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першій</w:t>
      </w: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статті 8, частині першій статті 55</w:t>
      </w:r>
      <w:r w:rsidR="00970BD2"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2D5610"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70BD2"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пунктам 1, 3, 8</w:t>
      </w:r>
      <w:r w:rsid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70BD2"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</w:t>
      </w:r>
      <w:r w:rsidR="002D5610"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стини другої </w:t>
      </w:r>
      <w:r w:rsidR="00970BD2"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статті 129 </w:t>
      </w: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Конституції України</w:t>
      </w:r>
      <w:r w:rsidR="00970BD2"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частині</w:t>
      </w:r>
      <w:r w:rsidR="002D5610"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70BD2"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„неможливості оскарження в апеляційному порядку ухвал суду першої інстанції, якими відмовлено у закритті кримінального провадження</w:t>
      </w: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“</w:t>
      </w:r>
      <w:r w:rsidR="00C0009C"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оскільки</w:t>
      </w:r>
      <w:r w:rsid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C710E"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„нормами КПК України не передбачена можливість окремого апеляційного оскарження ухвали суду про відмову у задоволенні клопотання про закриття кримінального провадження до ухвалення остаточного рішення за наслідками судового розгляду в суді першої інстанції“</w:t>
      </w:r>
      <w:r w:rsidR="002D5610"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D5610" w:rsidRPr="00481005" w:rsidRDefault="00207BD4" w:rsidP="0048100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</w:pP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Аргументуючи власні твердження</w:t>
      </w:r>
      <w:r w:rsidR="006566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100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Перець Н.М. посилається на Конституцію України, Кодекс, міжнародні акти, рішення Конституційного Суду України, практику Європейського суду з прав людини, конституційних судів </w:t>
      </w:r>
      <w:r w:rsidR="006566A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іноземних</w:t>
      </w:r>
      <w:r w:rsidRPr="0048100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країн, судів системи судоустрою</w:t>
      </w:r>
      <w:r w:rsidR="006566A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України</w:t>
      </w:r>
      <w:r w:rsidRPr="0048100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, а також на судові рішення в її справі.</w:t>
      </w:r>
    </w:p>
    <w:p w:rsidR="00207BD4" w:rsidRPr="00481005" w:rsidRDefault="00207BD4" w:rsidP="0048100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07BD4" w:rsidRPr="00481005" w:rsidRDefault="00207BD4" w:rsidP="0048100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Вирішуючи питання щодо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207BD4" w:rsidRPr="00481005" w:rsidRDefault="00207BD4" w:rsidP="004810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0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Згідно із Законом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конституційна скарга має містити, зокрема,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</w:t>
      </w:r>
      <w:bookmarkStart w:id="1" w:name="_Hlk101398318"/>
      <w:r w:rsidRPr="00481005">
        <w:rPr>
          <w:rFonts w:ascii="Times New Roman" w:hAnsi="Times New Roman" w:cs="Times New Roman"/>
          <w:sz w:val="28"/>
          <w:szCs w:val="28"/>
          <w:lang w:val="uk-UA"/>
        </w:rPr>
        <w:t>конституційна скарга вважається прийнятною за умов її відповідності вимогам, передбаченим, зокрема, статтею 55 цього закону (абзац перший частини першої статті 77).</w:t>
      </w:r>
      <w:bookmarkEnd w:id="1"/>
    </w:p>
    <w:p w:rsidR="00207BD4" w:rsidRPr="00481005" w:rsidRDefault="00207BD4" w:rsidP="0048100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Із аналізу конституційної скарги вбачається, що аргументація</w:t>
      </w:r>
      <w:r w:rsid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100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Перець Н.М. </w:t>
      </w: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</w:t>
      </w:r>
      <w:r w:rsidR="006566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невідповідності Конституції України </w:t>
      </w: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частини одинадцятої статті 284, </w:t>
      </w:r>
      <w:r w:rsidR="00E3102B"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абзацу </w:t>
      </w: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першого</w:t>
      </w:r>
      <w:r w:rsid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частини другої статті 392 Кодексу зводиться до висловлення незгоди із застосуванням оспорюваних положень Кодексу в остаточному судовому рішенні в її справі, що не можна вважати обґрунтуванням тверджень щодо їх неконституційності.</w:t>
      </w:r>
    </w:p>
    <w:p w:rsidR="00C0009C" w:rsidRPr="00481005" w:rsidRDefault="00C0009C" w:rsidP="004810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Крім того, </w:t>
      </w:r>
      <w:r w:rsidRPr="00481005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Конституційний Суд України у своїх </w:t>
      </w:r>
      <w:r w:rsidR="00E3102B">
        <w:rPr>
          <w:rFonts w:ascii="Times New Roman" w:hAnsi="Times New Roman" w:cs="Times New Roman"/>
          <w:sz w:val="28"/>
          <w:szCs w:val="28"/>
          <w:lang w:val="uk-UA"/>
        </w:rPr>
        <w:t>актах</w:t>
      </w:r>
      <w:r w:rsidRPr="00481005">
        <w:rPr>
          <w:rFonts w:ascii="Times New Roman" w:hAnsi="Times New Roman" w:cs="Times New Roman"/>
          <w:sz w:val="28"/>
          <w:szCs w:val="28"/>
          <w:lang w:val="uk-UA"/>
        </w:rPr>
        <w:t xml:space="preserve"> зазначав, що відповідно до змісту Конституції України та Закону України „Про Конституційний Суд України“ питання внесення змін до нормативних актів, заповнення прогалин, усунення суперечностей і колізій між законами та іншими нормативними актами не є компетенці</w:t>
      </w:r>
      <w:r w:rsidR="00E3102B">
        <w:rPr>
          <w:rFonts w:ascii="Times New Roman" w:hAnsi="Times New Roman" w:cs="Times New Roman"/>
          <w:sz w:val="28"/>
          <w:szCs w:val="28"/>
          <w:lang w:val="uk-UA"/>
        </w:rPr>
        <w:t>єю Конституційного Суду України</w:t>
      </w:r>
      <w:r w:rsidR="00E3102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8100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3102B">
        <w:rPr>
          <w:rFonts w:ascii="Times New Roman" w:hAnsi="Times New Roman" w:cs="Times New Roman"/>
          <w:sz w:val="28"/>
          <w:szCs w:val="28"/>
          <w:lang w:val="uk-UA"/>
        </w:rPr>
        <w:t xml:space="preserve">абзац другий підпункту 2.1 пункту 2 мотивувальної частини </w:t>
      </w:r>
      <w:r w:rsidR="006566A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81005">
        <w:rPr>
          <w:rFonts w:ascii="Times New Roman" w:hAnsi="Times New Roman" w:cs="Times New Roman"/>
          <w:sz w:val="28"/>
          <w:szCs w:val="28"/>
          <w:lang w:val="uk-UA"/>
        </w:rPr>
        <w:t>хвал</w:t>
      </w:r>
      <w:r w:rsidR="00E3102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81005">
        <w:rPr>
          <w:rFonts w:ascii="Times New Roman" w:hAnsi="Times New Roman" w:cs="Times New Roman"/>
          <w:sz w:val="28"/>
          <w:szCs w:val="28"/>
          <w:lang w:val="uk-UA"/>
        </w:rPr>
        <w:t xml:space="preserve"> Великої палати Конституційного Суду України від 27 червня 2023 року № 12-уп/2023).</w:t>
      </w:r>
    </w:p>
    <w:p w:rsidR="00C0009C" w:rsidRPr="00481005" w:rsidRDefault="00C0009C" w:rsidP="0048100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Отже, автор клопотання не дотрима</w:t>
      </w:r>
      <w:r w:rsid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вимог пункту 6 частини другої</w:t>
      </w:r>
      <w:r w:rsid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статті 55 Закону України „Про Конституційний Суд України“, що є підставою для відмови у відкритті конституційного провадження у справі в цій частині </w:t>
      </w: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згідно з пунктом 4 статті 62 цього закону – неприйнятність конституційної скарги.</w:t>
      </w:r>
    </w:p>
    <w:p w:rsidR="00C0009C" w:rsidRPr="00481005" w:rsidRDefault="00C0009C" w:rsidP="0048100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0009C" w:rsidRPr="00481005" w:rsidRDefault="00C0009C" w:rsidP="0048100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Ураховуючи викладене та керуючись статтями 147, 151</w:t>
      </w:r>
      <w:r w:rsidRPr="0048100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1</w:t>
      </w: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153 Конституції України, на підставі статей 7, 8, 32, 37, 50, 55, 56,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C0009C" w:rsidRPr="00481005" w:rsidRDefault="00C0009C" w:rsidP="0048100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0009C" w:rsidRPr="00481005" w:rsidRDefault="00C0009C" w:rsidP="0048100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810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 х в а л и л а:</w:t>
      </w:r>
    </w:p>
    <w:p w:rsidR="00C0009C" w:rsidRPr="00481005" w:rsidRDefault="00C0009C" w:rsidP="0048100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0009C" w:rsidRPr="00481005" w:rsidRDefault="00C0009C" w:rsidP="0048100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Pr="0048100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Перець Наталії Миколаївни щодо відповідності Конституції України (конституційності) </w:t>
      </w: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частини одинадцятої статті 284,</w:t>
      </w:r>
      <w:r w:rsidR="00E310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E3102B"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абзацу </w:t>
      </w: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першого частини другої статті 392 Кримінального процесуального кодексу України на підставі пу</w:t>
      </w:r>
      <w:r w:rsidR="00E310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нкту 4 статті 62 Закону України</w:t>
      </w:r>
      <w:r w:rsidR="00E310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„Про Конституційний Суд України“ – неприйнятність конституційної скарги.</w:t>
      </w:r>
    </w:p>
    <w:p w:rsidR="00C0009C" w:rsidRPr="00481005" w:rsidRDefault="00C0009C" w:rsidP="0048100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0009C" w:rsidRDefault="00C0009C" w:rsidP="0048100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10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Ухвала є остаточною.</w:t>
      </w:r>
    </w:p>
    <w:p w:rsidR="00481005" w:rsidRDefault="00481005" w:rsidP="004810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81005" w:rsidRDefault="00481005" w:rsidP="004810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81005" w:rsidRDefault="00481005" w:rsidP="004810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9394A" w:rsidRPr="00C153AC" w:rsidRDefault="00B9394A" w:rsidP="00B9394A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uk-UA"/>
        </w:rPr>
      </w:pPr>
      <w:bookmarkStart w:id="2" w:name="_GoBack"/>
      <w:r w:rsidRPr="00C153AC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uk-UA"/>
        </w:rPr>
        <w:t>Перша колегія суддів</w:t>
      </w:r>
    </w:p>
    <w:p w:rsidR="00B9394A" w:rsidRPr="00C153AC" w:rsidRDefault="00B9394A" w:rsidP="00B9394A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uk-UA"/>
        </w:rPr>
      </w:pPr>
      <w:r w:rsidRPr="00C153AC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uk-UA"/>
        </w:rPr>
        <w:t>Першого сенату</w:t>
      </w:r>
    </w:p>
    <w:p w:rsidR="00481005" w:rsidRPr="00481005" w:rsidRDefault="00B9394A" w:rsidP="00B9394A">
      <w:pPr>
        <w:spacing w:after="0" w:line="240" w:lineRule="auto"/>
        <w:ind w:left="425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153AC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uk-UA"/>
        </w:rPr>
        <w:t>Конституційного Суду України</w:t>
      </w:r>
      <w:bookmarkEnd w:id="2"/>
    </w:p>
    <w:sectPr w:rsidR="00481005" w:rsidRPr="00481005" w:rsidSect="00481005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16" w:rsidRDefault="00713216" w:rsidP="00713216">
      <w:pPr>
        <w:spacing w:after="0" w:line="240" w:lineRule="auto"/>
      </w:pPr>
      <w:r>
        <w:separator/>
      </w:r>
    </w:p>
  </w:endnote>
  <w:endnote w:type="continuationSeparator" w:id="0">
    <w:p w:rsidR="00713216" w:rsidRDefault="00713216" w:rsidP="0071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005" w:rsidRPr="00481005" w:rsidRDefault="00481005">
    <w:pPr>
      <w:pStyle w:val="a5"/>
      <w:rPr>
        <w:rFonts w:ascii="Times New Roman" w:hAnsi="Times New Roman" w:cs="Times New Roman"/>
        <w:sz w:val="10"/>
        <w:szCs w:val="10"/>
      </w:rPr>
    </w:pPr>
    <w:r w:rsidRPr="00481005">
      <w:rPr>
        <w:rFonts w:ascii="Times New Roman" w:hAnsi="Times New Roman" w:cs="Times New Roman"/>
        <w:sz w:val="10"/>
        <w:szCs w:val="10"/>
      </w:rPr>
      <w:fldChar w:fldCharType="begin"/>
    </w:r>
    <w:r w:rsidRPr="00481005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481005">
      <w:rPr>
        <w:rFonts w:ascii="Times New Roman" w:hAnsi="Times New Roman" w:cs="Times New Roman"/>
        <w:sz w:val="10"/>
        <w:szCs w:val="10"/>
      </w:rPr>
      <w:fldChar w:fldCharType="separate"/>
    </w:r>
    <w:r w:rsidR="00B9394A">
      <w:rPr>
        <w:rFonts w:ascii="Times New Roman" w:hAnsi="Times New Roman" w:cs="Times New Roman"/>
        <w:noProof/>
        <w:sz w:val="10"/>
        <w:szCs w:val="10"/>
        <w:lang w:val="uk-UA"/>
      </w:rPr>
      <w:t>G:\2024\Suddi\I senat\I koleg\32.docx</w:t>
    </w:r>
    <w:r w:rsidRPr="0048100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005" w:rsidRPr="00481005" w:rsidRDefault="00481005">
    <w:pPr>
      <w:pStyle w:val="a5"/>
      <w:rPr>
        <w:rFonts w:ascii="Times New Roman" w:hAnsi="Times New Roman" w:cs="Times New Roman"/>
        <w:sz w:val="10"/>
        <w:szCs w:val="10"/>
      </w:rPr>
    </w:pPr>
    <w:r w:rsidRPr="00481005">
      <w:rPr>
        <w:rFonts w:ascii="Times New Roman" w:hAnsi="Times New Roman" w:cs="Times New Roman"/>
        <w:sz w:val="10"/>
        <w:szCs w:val="10"/>
      </w:rPr>
      <w:fldChar w:fldCharType="begin"/>
    </w:r>
    <w:r w:rsidRPr="00481005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481005">
      <w:rPr>
        <w:rFonts w:ascii="Times New Roman" w:hAnsi="Times New Roman" w:cs="Times New Roman"/>
        <w:sz w:val="10"/>
        <w:szCs w:val="10"/>
      </w:rPr>
      <w:fldChar w:fldCharType="separate"/>
    </w:r>
    <w:r w:rsidR="00B9394A">
      <w:rPr>
        <w:rFonts w:ascii="Times New Roman" w:hAnsi="Times New Roman" w:cs="Times New Roman"/>
        <w:noProof/>
        <w:sz w:val="10"/>
        <w:szCs w:val="10"/>
        <w:lang w:val="uk-UA"/>
      </w:rPr>
      <w:t>G:\2024\Suddi\I senat\I koleg\32.docx</w:t>
    </w:r>
    <w:r w:rsidRPr="0048100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16" w:rsidRDefault="00713216" w:rsidP="00713216">
      <w:pPr>
        <w:spacing w:after="0" w:line="240" w:lineRule="auto"/>
      </w:pPr>
      <w:r>
        <w:separator/>
      </w:r>
    </w:p>
  </w:footnote>
  <w:footnote w:type="continuationSeparator" w:id="0">
    <w:p w:rsidR="00713216" w:rsidRDefault="00713216" w:rsidP="00713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4"/>
      </w:rPr>
      <w:id w:val="-2056453348"/>
      <w:docPartObj>
        <w:docPartGallery w:val="Page Numbers (Top of Page)"/>
        <w:docPartUnique/>
      </w:docPartObj>
    </w:sdtPr>
    <w:sdtEndPr/>
    <w:sdtContent>
      <w:p w:rsidR="00713216" w:rsidRPr="00713216" w:rsidRDefault="00713216" w:rsidP="00713216">
        <w:pPr>
          <w:pStyle w:val="a3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713216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Pr="00713216">
          <w:rPr>
            <w:rFonts w:ascii="Times New Roman" w:hAnsi="Times New Roman" w:cs="Times New Roman"/>
            <w:sz w:val="28"/>
            <w:szCs w:val="24"/>
          </w:rPr>
          <w:instrText>PAGE   \* MERGEFORMAT</w:instrText>
        </w:r>
        <w:r w:rsidRPr="00713216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B9394A" w:rsidRPr="00B9394A">
          <w:rPr>
            <w:rFonts w:ascii="Times New Roman" w:hAnsi="Times New Roman" w:cs="Times New Roman"/>
            <w:noProof/>
            <w:sz w:val="28"/>
            <w:szCs w:val="24"/>
            <w:lang w:val="uk-UA"/>
          </w:rPr>
          <w:t>4</w:t>
        </w:r>
        <w:r w:rsidRPr="00713216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D64A0"/>
    <w:multiLevelType w:val="hybridMultilevel"/>
    <w:tmpl w:val="2280D498"/>
    <w:lvl w:ilvl="0" w:tplc="FDD0A7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33"/>
    <w:rsid w:val="00207BD4"/>
    <w:rsid w:val="002D5610"/>
    <w:rsid w:val="00311D7D"/>
    <w:rsid w:val="00481005"/>
    <w:rsid w:val="00484233"/>
    <w:rsid w:val="006078F3"/>
    <w:rsid w:val="006566A8"/>
    <w:rsid w:val="00713216"/>
    <w:rsid w:val="00970BD2"/>
    <w:rsid w:val="00AC710E"/>
    <w:rsid w:val="00B9394A"/>
    <w:rsid w:val="00C0009C"/>
    <w:rsid w:val="00E3102B"/>
    <w:rsid w:val="00F2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B4D0"/>
  <w15:chartTrackingRefBased/>
  <w15:docId w15:val="{1F829979-F4D1-4216-9803-3EA8A042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216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481005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13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713216"/>
    <w:rPr>
      <w:lang w:val="en-US"/>
    </w:rPr>
  </w:style>
  <w:style w:type="paragraph" w:styleId="a5">
    <w:name w:val="footer"/>
    <w:basedOn w:val="a"/>
    <w:link w:val="a6"/>
    <w:uiPriority w:val="99"/>
    <w:unhideWhenUsed/>
    <w:rsid w:val="00713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13216"/>
    <w:rPr>
      <w:lang w:val="en-US"/>
    </w:rPr>
  </w:style>
  <w:style w:type="paragraph" w:styleId="a7">
    <w:name w:val="List Paragraph"/>
    <w:basedOn w:val="a"/>
    <w:uiPriority w:val="34"/>
    <w:qFormat/>
    <w:rsid w:val="00AC710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C710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00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0009C"/>
    <w:rPr>
      <w:rFonts w:ascii="Segoe UI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rsid w:val="0048100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651-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651-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3842</Words>
  <Characters>2190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Валентина М. Поліщук</cp:lastModifiedBy>
  <cp:revision>6</cp:revision>
  <cp:lastPrinted>2024-07-10T12:53:00Z</cp:lastPrinted>
  <dcterms:created xsi:type="dcterms:W3CDTF">2024-07-10T07:46:00Z</dcterms:created>
  <dcterms:modified xsi:type="dcterms:W3CDTF">2024-07-10T12:53:00Z</dcterms:modified>
</cp:coreProperties>
</file>