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6E698E" w:rsidRDefault="002D76BD" w:rsidP="002D76BD">
      <w:pPr>
        <w:rPr>
          <w:b/>
          <w:sz w:val="28"/>
          <w:szCs w:val="28"/>
        </w:rPr>
      </w:pPr>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6E698E" w:rsidTr="00D93ABC">
        <w:trPr>
          <w:trHeight w:val="707"/>
        </w:trPr>
        <w:tc>
          <w:tcPr>
            <w:tcW w:w="9747" w:type="dxa"/>
          </w:tcPr>
          <w:p w:rsidR="002D76BD" w:rsidRPr="006E698E" w:rsidRDefault="002D76BD" w:rsidP="002D76BD">
            <w:pPr>
              <w:jc w:val="center"/>
              <w:rPr>
                <w:sz w:val="32"/>
                <w:szCs w:val="32"/>
                <w:lang w:eastAsia="en-US"/>
              </w:rPr>
            </w:pPr>
            <w:r w:rsidRPr="006E698E">
              <w:rPr>
                <w:noProof/>
                <w:sz w:val="32"/>
                <w:szCs w:val="32"/>
                <w:lang w:val="ru-RU" w:eastAsia="ru-RU"/>
              </w:rPr>
              <w:drawing>
                <wp:inline distT="0" distB="0" distL="0" distR="0" wp14:anchorId="579852D1" wp14:editId="09ADF23F">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6E698E" w:rsidRDefault="002D76BD" w:rsidP="002D76BD">
            <w:pPr>
              <w:jc w:val="center"/>
              <w:rPr>
                <w:sz w:val="16"/>
                <w:szCs w:val="16"/>
              </w:rPr>
            </w:pPr>
          </w:p>
          <w:p w:rsidR="002D76BD" w:rsidRPr="006E698E" w:rsidRDefault="002D76BD" w:rsidP="002D76BD">
            <w:pPr>
              <w:jc w:val="center"/>
              <w:rPr>
                <w:sz w:val="32"/>
                <w:szCs w:val="32"/>
              </w:rPr>
            </w:pPr>
            <w:r w:rsidRPr="006E698E">
              <w:rPr>
                <w:b/>
                <w:sz w:val="32"/>
                <w:szCs w:val="32"/>
              </w:rPr>
              <w:t>АНТИМОНОПОЛЬНИЙ   КОМІТЕТ   УКРАЇНИ</w:t>
            </w:r>
          </w:p>
        </w:tc>
        <w:tc>
          <w:tcPr>
            <w:tcW w:w="5925" w:type="dxa"/>
          </w:tcPr>
          <w:p w:rsidR="002D76BD" w:rsidRPr="006E698E" w:rsidRDefault="002D76BD" w:rsidP="002D76BD">
            <w:pPr>
              <w:jc w:val="both"/>
              <w:rPr>
                <w:sz w:val="32"/>
                <w:szCs w:val="32"/>
              </w:rPr>
            </w:pPr>
          </w:p>
        </w:tc>
      </w:tr>
    </w:tbl>
    <w:p w:rsidR="002D76BD" w:rsidRPr="006E698E" w:rsidRDefault="002D76BD" w:rsidP="002D76BD">
      <w:pPr>
        <w:jc w:val="center"/>
        <w:rPr>
          <w:b/>
          <w:sz w:val="32"/>
          <w:szCs w:val="32"/>
        </w:rPr>
      </w:pPr>
      <w:r w:rsidRPr="006E698E">
        <w:rPr>
          <w:b/>
          <w:sz w:val="32"/>
          <w:szCs w:val="32"/>
        </w:rPr>
        <w:t>РІШЕННЯ</w:t>
      </w:r>
    </w:p>
    <w:p w:rsidR="002D76BD" w:rsidRPr="006E698E" w:rsidRDefault="002D76BD" w:rsidP="002D76BD">
      <w:pPr>
        <w:rPr>
          <w:sz w:val="28"/>
          <w:szCs w:val="28"/>
        </w:rPr>
      </w:pPr>
    </w:p>
    <w:p w:rsidR="002D76BD" w:rsidRPr="006E698E" w:rsidRDefault="0078634A" w:rsidP="002D76BD">
      <w:pPr>
        <w:jc w:val="both"/>
      </w:pPr>
      <w:r>
        <w:rPr>
          <w:lang w:val="ru-RU"/>
        </w:rPr>
        <w:t>12</w:t>
      </w:r>
      <w:r w:rsidR="001C4711" w:rsidRPr="006E698E">
        <w:t xml:space="preserve"> </w:t>
      </w:r>
      <w:r>
        <w:t>серпня</w:t>
      </w:r>
      <w:r w:rsidR="000B283F" w:rsidRPr="006E698E">
        <w:t xml:space="preserve"> 202</w:t>
      </w:r>
      <w:r w:rsidR="00852656" w:rsidRPr="006E698E">
        <w:t>1</w:t>
      </w:r>
      <w:r w:rsidR="002D76BD" w:rsidRPr="006E698E">
        <w:t xml:space="preserve"> р.</w:t>
      </w:r>
      <w:r w:rsidR="002D76BD" w:rsidRPr="006E698E">
        <w:tab/>
      </w:r>
      <w:r w:rsidR="002D76BD" w:rsidRPr="006E698E">
        <w:tab/>
        <w:t xml:space="preserve">    </w:t>
      </w:r>
      <w:r w:rsidR="00D53FF4" w:rsidRPr="006E698E">
        <w:t xml:space="preserve">        </w:t>
      </w:r>
      <w:r w:rsidR="00795F19" w:rsidRPr="006E698E">
        <w:t xml:space="preserve"> </w:t>
      </w:r>
      <w:r w:rsidR="00675E77" w:rsidRPr="006E698E">
        <w:t xml:space="preserve">           </w:t>
      </w:r>
      <w:r w:rsidR="00795F19" w:rsidRPr="006E698E">
        <w:t xml:space="preserve">  </w:t>
      </w:r>
      <w:r w:rsidR="00E343A3" w:rsidRPr="006E698E">
        <w:t xml:space="preserve">   Київ</w:t>
      </w:r>
      <w:r w:rsidR="00E343A3" w:rsidRPr="006E698E">
        <w:tab/>
      </w:r>
      <w:r w:rsidR="00E343A3" w:rsidRPr="006E698E">
        <w:tab/>
      </w:r>
      <w:r w:rsidR="00E343A3" w:rsidRPr="006E698E">
        <w:tab/>
        <w:t xml:space="preserve">   </w:t>
      </w:r>
      <w:r w:rsidR="00611969" w:rsidRPr="006E698E">
        <w:t xml:space="preserve">  </w:t>
      </w:r>
      <w:r w:rsidR="00E343A3" w:rsidRPr="006E698E">
        <w:t xml:space="preserve">     </w:t>
      </w:r>
      <w:r w:rsidR="00675E77" w:rsidRPr="006E698E">
        <w:t xml:space="preserve">        </w:t>
      </w:r>
      <w:r w:rsidR="00795F19" w:rsidRPr="006E698E">
        <w:t xml:space="preserve">    </w:t>
      </w:r>
      <w:r w:rsidR="00AC4CA4" w:rsidRPr="006E698E">
        <w:t xml:space="preserve">    </w:t>
      </w:r>
      <w:r w:rsidR="002D76BD" w:rsidRPr="006E698E">
        <w:t xml:space="preserve">№ </w:t>
      </w:r>
      <w:r w:rsidR="00F355AE">
        <w:rPr>
          <w:lang w:val="ru-RU"/>
        </w:rPr>
        <w:t>456</w:t>
      </w:r>
      <w:bookmarkStart w:id="0" w:name="_GoBack"/>
      <w:bookmarkEnd w:id="0"/>
      <w:r w:rsidR="002D76BD" w:rsidRPr="006E698E">
        <w:t xml:space="preserve">-р </w:t>
      </w:r>
    </w:p>
    <w:p w:rsidR="00582173" w:rsidRPr="006E698E" w:rsidRDefault="00582173" w:rsidP="00582173"/>
    <w:p w:rsidR="00582173" w:rsidRPr="006E698E" w:rsidRDefault="00582173" w:rsidP="00582173"/>
    <w:p w:rsidR="00582173" w:rsidRPr="006E698E" w:rsidRDefault="00582173" w:rsidP="00582173">
      <w:r w:rsidRPr="006E698E">
        <w:t xml:space="preserve">Про результати розгляду </w:t>
      </w:r>
    </w:p>
    <w:p w:rsidR="00582173" w:rsidRPr="006E698E" w:rsidRDefault="00582173" w:rsidP="00582173">
      <w:r w:rsidRPr="006E698E">
        <w:t>справи про державну допомогу</w:t>
      </w:r>
    </w:p>
    <w:p w:rsidR="00582173" w:rsidRPr="006E698E" w:rsidRDefault="00582173" w:rsidP="00582173">
      <w:pPr>
        <w:ind w:right="-567"/>
        <w:rPr>
          <w:rFonts w:ascii="Times New Roman CYR" w:hAnsi="Times New Roman CYR"/>
          <w:sz w:val="28"/>
          <w:szCs w:val="28"/>
          <w:highlight w:val="yellow"/>
        </w:rPr>
      </w:pPr>
    </w:p>
    <w:p w:rsidR="00852656" w:rsidRPr="006E698E" w:rsidRDefault="00852656" w:rsidP="00582173">
      <w:pPr>
        <w:ind w:firstLine="708"/>
        <w:jc w:val="both"/>
        <w:rPr>
          <w:color w:val="000000" w:themeColor="text1"/>
        </w:rPr>
      </w:pPr>
      <w:r w:rsidRPr="006E698E">
        <w:rPr>
          <w:color w:val="000000" w:themeColor="text1"/>
        </w:rPr>
        <w:t xml:space="preserve">За результатами розгляду повідомлення про нову державну допомогу                              </w:t>
      </w:r>
      <w:r w:rsidR="00A65B3D" w:rsidRPr="006E698E">
        <w:t>Виконавчого комітету Білоцерківської міської ради та Управління соціального захисту населення Білоцерківської міської ради, яке надійшло на Портал державної допомоги за реєстраційним номером у базі даних 48307 (вх. № 1892-ПДД/1 від 15.12.2020), розпорядженням державного уповноваженого Антимонопольного комітету України                       від 19.02.2021 № 05/53-р розпочато розгляд справи № 500-26.15/10-21-ДД</w:t>
      </w:r>
      <w:r w:rsidRPr="006E698E">
        <w:rPr>
          <w:color w:val="000000" w:themeColor="text1"/>
        </w:rPr>
        <w:t xml:space="preserve"> про державну допомогу для проведення поглибленого аналізу допустимості державної допомоги для конкуренції (далі – Справа).</w:t>
      </w:r>
    </w:p>
    <w:p w:rsidR="00582173" w:rsidRPr="006E698E" w:rsidRDefault="00582173" w:rsidP="00582173">
      <w:pPr>
        <w:ind w:firstLine="708"/>
        <w:jc w:val="both"/>
      </w:pPr>
      <w:r w:rsidRPr="006E698E">
        <w:t>Антимонопольний комітет України</w:t>
      </w:r>
      <w:r w:rsidR="009E445F" w:rsidRPr="006E698E">
        <w:t xml:space="preserve"> (далі – Комітет)</w:t>
      </w:r>
      <w:r w:rsidRPr="006E698E">
        <w:t xml:space="preserve">, розглянувши матеріали справи                           </w:t>
      </w:r>
      <w:r w:rsidR="00475ADE" w:rsidRPr="006E698E">
        <w:t xml:space="preserve">                    </w:t>
      </w:r>
      <w:r w:rsidR="00D53FF4" w:rsidRPr="006E698E">
        <w:t xml:space="preserve">№ </w:t>
      </w:r>
      <w:r w:rsidR="00A65B3D" w:rsidRPr="006E698E">
        <w:t>500-26.15/10-21-ДД</w:t>
      </w:r>
      <w:r w:rsidR="00D53FF4" w:rsidRPr="006E698E">
        <w:t xml:space="preserve"> </w:t>
      </w:r>
      <w:r w:rsidRPr="006E698E">
        <w:t xml:space="preserve">про державну допомогу та подання з попередніми висновками                        </w:t>
      </w:r>
      <w:r w:rsidR="00475ADE" w:rsidRPr="006E698E">
        <w:t xml:space="preserve">   від </w:t>
      </w:r>
      <w:r w:rsidR="00A65B3D" w:rsidRPr="006E698E">
        <w:t>20</w:t>
      </w:r>
      <w:r w:rsidR="00852656" w:rsidRPr="006E698E">
        <w:t>.0</w:t>
      </w:r>
      <w:r w:rsidR="00A65B3D" w:rsidRPr="006E698E">
        <w:t>7</w:t>
      </w:r>
      <w:r w:rsidR="00852656" w:rsidRPr="006E698E">
        <w:t>.2021</w:t>
      </w:r>
      <w:r w:rsidR="009938C7" w:rsidRPr="006E698E">
        <w:t xml:space="preserve"> </w:t>
      </w:r>
      <w:r w:rsidR="00D53FF4" w:rsidRPr="006E698E">
        <w:t xml:space="preserve">№ </w:t>
      </w:r>
      <w:r w:rsidR="00852656" w:rsidRPr="006E698E">
        <w:rPr>
          <w:color w:val="000000" w:themeColor="text1"/>
        </w:rPr>
        <w:t>500-26.15/</w:t>
      </w:r>
      <w:r w:rsidR="00A65B3D" w:rsidRPr="006E698E">
        <w:rPr>
          <w:color w:val="000000" w:themeColor="text1"/>
        </w:rPr>
        <w:t>10</w:t>
      </w:r>
      <w:r w:rsidR="00852656" w:rsidRPr="006E698E">
        <w:rPr>
          <w:color w:val="000000" w:themeColor="text1"/>
        </w:rPr>
        <w:t>-21-ДД</w:t>
      </w:r>
      <w:r w:rsidR="00AD2D7D" w:rsidRPr="006E698E">
        <w:t>/</w:t>
      </w:r>
      <w:r w:rsidR="00A65B3D" w:rsidRPr="006E698E">
        <w:t>336</w:t>
      </w:r>
      <w:r w:rsidRPr="006E698E">
        <w:t xml:space="preserve">-спр, </w:t>
      </w:r>
    </w:p>
    <w:p w:rsidR="00582173" w:rsidRPr="006E698E" w:rsidRDefault="00582173" w:rsidP="00582173">
      <w:pPr>
        <w:ind w:firstLine="708"/>
        <w:jc w:val="both"/>
      </w:pPr>
    </w:p>
    <w:p w:rsidR="00582173" w:rsidRPr="006E698E" w:rsidRDefault="00582173" w:rsidP="00582173">
      <w:pPr>
        <w:ind w:firstLine="708"/>
        <w:jc w:val="center"/>
        <w:rPr>
          <w:b/>
        </w:rPr>
      </w:pPr>
      <w:r w:rsidRPr="006E698E">
        <w:rPr>
          <w:b/>
        </w:rPr>
        <w:t>ВСТАНОВИВ:</w:t>
      </w:r>
    </w:p>
    <w:p w:rsidR="00BC1C5E" w:rsidRPr="006E698E" w:rsidRDefault="00BC1C5E" w:rsidP="00BC1C5E">
      <w:pPr>
        <w:jc w:val="both"/>
      </w:pPr>
    </w:p>
    <w:p w:rsidR="00BC1C5E" w:rsidRPr="006E698E" w:rsidRDefault="00BC1C5E" w:rsidP="00BC1C5E">
      <w:pPr>
        <w:numPr>
          <w:ilvl w:val="0"/>
          <w:numId w:val="1"/>
        </w:numPr>
        <w:ind w:left="426" w:hanging="426"/>
        <w:jc w:val="both"/>
        <w:rPr>
          <w:b/>
        </w:rPr>
      </w:pPr>
      <w:r w:rsidRPr="006E698E">
        <w:rPr>
          <w:b/>
        </w:rPr>
        <w:t>ПОРЯДОК ПОВІДОМЛЕННЯ ПРО ПІДТРИМКУ</w:t>
      </w:r>
    </w:p>
    <w:p w:rsidR="00BC1C5E" w:rsidRPr="006E698E" w:rsidRDefault="00BC1C5E" w:rsidP="00BC1C5E">
      <w:pPr>
        <w:contextualSpacing/>
        <w:jc w:val="both"/>
        <w:rPr>
          <w:highlight w:val="yellow"/>
        </w:rPr>
      </w:pPr>
    </w:p>
    <w:p w:rsidR="00095F0D" w:rsidRPr="006E698E" w:rsidRDefault="00095F0D" w:rsidP="003C4E21">
      <w:pPr>
        <w:pStyle w:val="rvps2"/>
        <w:numPr>
          <w:ilvl w:val="0"/>
          <w:numId w:val="4"/>
        </w:numPr>
        <w:spacing w:before="0" w:beforeAutospacing="0" w:after="0" w:afterAutospacing="0"/>
        <w:ind w:left="567" w:hanging="567"/>
        <w:jc w:val="both"/>
        <w:rPr>
          <w:lang w:val="uk-UA" w:eastAsia="uk-UA"/>
        </w:rPr>
      </w:pPr>
      <w:r w:rsidRPr="006E698E">
        <w:rPr>
          <w:lang w:val="uk-UA" w:eastAsia="uk-UA"/>
        </w:rPr>
        <w:t xml:space="preserve">На портал державної допомоги за реєстраційним номером у базі даних </w:t>
      </w:r>
      <w:r w:rsidRPr="006E698E">
        <w:rPr>
          <w:lang w:val="uk-UA"/>
        </w:rPr>
        <w:t>48307                   (вх. № 1892-ПДД/1 від 15.12.2020)</w:t>
      </w:r>
      <w:r w:rsidRPr="006E698E">
        <w:rPr>
          <w:lang w:val="uk-UA" w:eastAsia="uk-UA"/>
        </w:rPr>
        <w:t xml:space="preserve"> Виконавчим комітетом Білоцерківської міської ради та Управлінням соціального захисту населення Білоцерківської міської ради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095F0D" w:rsidRPr="006E698E" w:rsidRDefault="00095F0D" w:rsidP="003C4E21">
      <w:pPr>
        <w:pStyle w:val="rvps2"/>
        <w:spacing w:before="0" w:beforeAutospacing="0" w:after="0" w:afterAutospacing="0"/>
        <w:ind w:left="567" w:hanging="567"/>
        <w:jc w:val="both"/>
        <w:rPr>
          <w:lang w:val="uk-UA" w:eastAsia="uk-UA"/>
        </w:rPr>
      </w:pPr>
    </w:p>
    <w:p w:rsidR="00095F0D" w:rsidRPr="006E698E" w:rsidRDefault="00095F0D" w:rsidP="003C4E21">
      <w:pPr>
        <w:pStyle w:val="rvps2"/>
        <w:numPr>
          <w:ilvl w:val="0"/>
          <w:numId w:val="4"/>
        </w:numPr>
        <w:spacing w:before="0" w:beforeAutospacing="0" w:after="0" w:afterAutospacing="0"/>
        <w:ind w:left="567" w:hanging="567"/>
        <w:jc w:val="both"/>
        <w:rPr>
          <w:lang w:val="uk-UA" w:eastAsia="uk-UA"/>
        </w:rPr>
      </w:pPr>
      <w:r w:rsidRPr="006E698E">
        <w:rPr>
          <w:lang w:val="uk-UA" w:eastAsia="uk-UA"/>
        </w:rPr>
        <w:t>За результатами розгляду повідомлення про державну допомогу розпорядженням державного уповноваженого Антимонопольного комітету України від 19.02.2021                          № 05/53-р</w:t>
      </w:r>
      <w:r w:rsidRPr="006E698E">
        <w:rPr>
          <w:lang w:val="uk-UA"/>
        </w:rPr>
        <w:t xml:space="preserve"> </w:t>
      </w:r>
      <w:r w:rsidRPr="006E698E">
        <w:rPr>
          <w:lang w:val="uk-UA" w:eastAsia="uk-UA"/>
        </w:rPr>
        <w:t>розпочато розгляд справи про державну допомогу № </w:t>
      </w:r>
      <w:r w:rsidRPr="006E698E">
        <w:rPr>
          <w:lang w:val="uk-UA"/>
        </w:rPr>
        <w:t>500-26.15/10-21-ДД</w:t>
      </w:r>
      <w:r w:rsidRPr="006E698E">
        <w:rPr>
          <w:lang w:val="uk-UA" w:eastAsia="uk-UA"/>
        </w:rPr>
        <w:t xml:space="preserve"> для проведення поглибленого аналізу допустимості державної допомоги для конкуренції. Листами Комітет</w:t>
      </w:r>
      <w:r w:rsidR="00DC5700" w:rsidRPr="006E698E">
        <w:rPr>
          <w:lang w:val="uk-UA" w:eastAsia="uk-UA"/>
        </w:rPr>
        <w:t>у</w:t>
      </w:r>
      <w:r w:rsidRPr="006E698E">
        <w:rPr>
          <w:lang w:val="uk-UA" w:eastAsia="uk-UA"/>
        </w:rPr>
        <w:t xml:space="preserve"> від 19.12.2021 № 500-29/05-2709 та від 19.12.2021 № 500-29/05-2710 направлено копії розпоряджень на адреси Виконавчого комітету Білоцерківської міської ради та Управління соціального захисту населення Білоцерківської міської ради. На офіційному вебпорталі Комітету опубліковано інформацію про початок розгляду справи про державну допомогу </w:t>
      </w:r>
      <w:r w:rsidR="00254ADE">
        <w:rPr>
          <w:lang w:val="uk-UA" w:eastAsia="uk-UA"/>
        </w:rPr>
        <w:t>зі</w:t>
      </w:r>
      <w:r w:rsidR="00254ADE" w:rsidRPr="006E698E">
        <w:rPr>
          <w:lang w:val="uk-UA" w:eastAsia="uk-UA"/>
        </w:rPr>
        <w:t xml:space="preserve"> </w:t>
      </w:r>
      <w:r w:rsidRPr="006E698E">
        <w:rPr>
          <w:lang w:val="uk-UA" w:eastAsia="uk-UA"/>
        </w:rPr>
        <w:t>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r w:rsidRPr="006E698E">
        <w:rPr>
          <w:color w:val="000000" w:themeColor="text1"/>
          <w:lang w:val="uk-UA" w:eastAsia="uk-UA"/>
        </w:rPr>
        <w:t xml:space="preserve"> Відповідних заперечень та зауважень щодо опублікованого повідомлення про надання державної допомоги до Комітету не надходило.</w:t>
      </w:r>
    </w:p>
    <w:p w:rsidR="00095F0D" w:rsidRPr="006E698E" w:rsidRDefault="00095F0D" w:rsidP="003C4E21">
      <w:pPr>
        <w:pStyle w:val="rvps2"/>
        <w:spacing w:before="0" w:beforeAutospacing="0" w:after="0" w:afterAutospacing="0"/>
        <w:ind w:left="567" w:hanging="567"/>
        <w:jc w:val="both"/>
        <w:rPr>
          <w:lang w:val="uk-UA"/>
        </w:rPr>
      </w:pPr>
    </w:p>
    <w:p w:rsidR="00095F0D" w:rsidRPr="006E698E" w:rsidRDefault="00095F0D" w:rsidP="003C4E21">
      <w:pPr>
        <w:pStyle w:val="rvps2"/>
        <w:numPr>
          <w:ilvl w:val="0"/>
          <w:numId w:val="4"/>
        </w:numPr>
        <w:spacing w:before="0" w:beforeAutospacing="0" w:after="0" w:afterAutospacing="0"/>
        <w:ind w:left="567" w:hanging="567"/>
        <w:jc w:val="both"/>
        <w:rPr>
          <w:lang w:val="uk-UA"/>
        </w:rPr>
      </w:pPr>
      <w:r w:rsidRPr="006E698E">
        <w:rPr>
          <w:lang w:val="uk-UA"/>
        </w:rPr>
        <w:lastRenderedPageBreak/>
        <w:t xml:space="preserve">Комітет листом від 15.03.2021 № 500-29/05-3951 направив вимогу </w:t>
      </w:r>
      <w:r w:rsidRPr="006E698E">
        <w:rPr>
          <w:lang w:val="uk-UA" w:eastAsia="uk-UA"/>
        </w:rPr>
        <w:t>Виконавчому комітету Білоцерківської міської ради</w:t>
      </w:r>
      <w:r w:rsidRPr="006E698E">
        <w:rPr>
          <w:lang w:val="uk-UA"/>
        </w:rPr>
        <w:t xml:space="preserve"> про надання додаткової інформації. </w:t>
      </w:r>
    </w:p>
    <w:p w:rsidR="00095F0D" w:rsidRPr="006E698E" w:rsidRDefault="00095F0D" w:rsidP="003C4E21">
      <w:pPr>
        <w:ind w:left="567" w:hanging="567"/>
      </w:pPr>
    </w:p>
    <w:p w:rsidR="00095F0D" w:rsidRPr="006E698E" w:rsidRDefault="00095F0D" w:rsidP="003C4E21">
      <w:pPr>
        <w:pStyle w:val="rvps2"/>
        <w:numPr>
          <w:ilvl w:val="0"/>
          <w:numId w:val="4"/>
        </w:numPr>
        <w:spacing w:before="0" w:beforeAutospacing="0" w:after="0" w:afterAutospacing="0"/>
        <w:ind w:left="567" w:hanging="567"/>
        <w:jc w:val="both"/>
        <w:rPr>
          <w:lang w:val="uk-UA"/>
        </w:rPr>
      </w:pPr>
      <w:r w:rsidRPr="006E698E">
        <w:rPr>
          <w:lang w:val="uk-UA" w:eastAsia="uk-UA"/>
        </w:rPr>
        <w:t xml:space="preserve">Виконавчий комітет Білоцерківської міської ради надав </w:t>
      </w:r>
      <w:r w:rsidRPr="006E698E">
        <w:rPr>
          <w:lang w:val="uk-UA"/>
        </w:rPr>
        <w:t>додаткову інформацію до Справи,</w:t>
      </w:r>
      <w:r w:rsidRPr="006E698E">
        <w:rPr>
          <w:lang w:val="uk-UA" w:eastAsia="uk-UA"/>
        </w:rPr>
        <w:t xml:space="preserve"> яка надійшла на Портал державної допомоги за реєстраційним номером у базі даних</w:t>
      </w:r>
      <w:r w:rsidRPr="006E698E">
        <w:rPr>
          <w:lang w:val="uk-UA"/>
        </w:rPr>
        <w:t xml:space="preserve"> 58051 (вх. № 1228-ПДД/4 від 14.04.2021)</w:t>
      </w:r>
      <w:r w:rsidRPr="006E698E">
        <w:rPr>
          <w:lang w:val="uk-UA" w:eastAsia="uk-UA"/>
        </w:rPr>
        <w:t>.</w:t>
      </w:r>
    </w:p>
    <w:p w:rsidR="00095F0D" w:rsidRPr="006E698E" w:rsidRDefault="00095F0D" w:rsidP="003C4E21">
      <w:pPr>
        <w:pStyle w:val="a3"/>
        <w:ind w:left="567" w:hanging="567"/>
      </w:pPr>
    </w:p>
    <w:p w:rsidR="00F617F7" w:rsidRDefault="00095F0D" w:rsidP="003C4E21">
      <w:pPr>
        <w:pStyle w:val="rvps2"/>
        <w:numPr>
          <w:ilvl w:val="0"/>
          <w:numId w:val="4"/>
        </w:numPr>
        <w:spacing w:before="0" w:beforeAutospacing="0" w:after="0" w:afterAutospacing="0"/>
        <w:ind w:left="567" w:hanging="567"/>
        <w:jc w:val="both"/>
        <w:rPr>
          <w:color w:val="000000" w:themeColor="text1"/>
          <w:lang w:val="uk-UA" w:eastAsia="uk-UA"/>
        </w:rPr>
      </w:pPr>
      <w:r w:rsidRPr="006E698E">
        <w:rPr>
          <w:lang w:val="uk-UA" w:eastAsia="uk-UA"/>
        </w:rPr>
        <w:t>Листами від 26.05.2021 № 157 (вх. № 8-01/7163 від 27.05.2021)</w:t>
      </w:r>
      <w:r w:rsidR="00520ADA">
        <w:rPr>
          <w:lang w:val="uk-UA" w:eastAsia="uk-UA"/>
        </w:rPr>
        <w:t xml:space="preserve"> та</w:t>
      </w:r>
      <w:r w:rsidRPr="006E698E">
        <w:rPr>
          <w:lang w:val="uk-UA" w:eastAsia="uk-UA"/>
        </w:rPr>
        <w:t xml:space="preserve"> від 31.05.2021 № 160 (вх. № 8-01/8344 від 16.06.2021) комунальне підприємство Білоцерківської міської ради «Тролейбусне управління» надало </w:t>
      </w:r>
      <w:r w:rsidRPr="006E698E">
        <w:rPr>
          <w:lang w:val="uk-UA"/>
        </w:rPr>
        <w:t>додаткову інформацію для розгляду Справи</w:t>
      </w:r>
      <w:r w:rsidR="00852656" w:rsidRPr="006E698E">
        <w:rPr>
          <w:color w:val="000000" w:themeColor="text1"/>
          <w:lang w:val="uk-UA"/>
        </w:rPr>
        <w:t>.</w:t>
      </w:r>
    </w:p>
    <w:p w:rsidR="00520ADA" w:rsidRDefault="00520ADA" w:rsidP="00520ADA">
      <w:pPr>
        <w:pStyle w:val="rvps2"/>
        <w:spacing w:before="0" w:beforeAutospacing="0" w:after="0" w:afterAutospacing="0"/>
        <w:ind w:left="567"/>
        <w:jc w:val="both"/>
        <w:rPr>
          <w:color w:val="000000" w:themeColor="text1"/>
          <w:lang w:val="uk-UA" w:eastAsia="uk-UA"/>
        </w:rPr>
      </w:pPr>
    </w:p>
    <w:p w:rsidR="00520ADA" w:rsidRPr="006E698E" w:rsidRDefault="00520ADA" w:rsidP="003C4E21">
      <w:pPr>
        <w:pStyle w:val="rvps2"/>
        <w:numPr>
          <w:ilvl w:val="0"/>
          <w:numId w:val="4"/>
        </w:numPr>
        <w:spacing w:before="0" w:beforeAutospacing="0" w:after="0" w:afterAutospacing="0"/>
        <w:ind w:left="567" w:hanging="567"/>
        <w:jc w:val="both"/>
        <w:rPr>
          <w:color w:val="000000" w:themeColor="text1"/>
          <w:lang w:val="uk-UA" w:eastAsia="uk-UA"/>
        </w:rPr>
      </w:pPr>
      <w:r>
        <w:rPr>
          <w:color w:val="000000" w:themeColor="text1"/>
          <w:lang w:val="uk-UA" w:eastAsia="uk-UA"/>
        </w:rPr>
        <w:t xml:space="preserve">Листом </w:t>
      </w:r>
      <w:r>
        <w:rPr>
          <w:lang w:val="uk-UA" w:eastAsia="uk-UA"/>
        </w:rPr>
        <w:t xml:space="preserve">від 09.08.2021 № 2683/01-14 (вх. № </w:t>
      </w:r>
      <w:r w:rsidR="0078634A">
        <w:rPr>
          <w:lang w:val="uk-UA" w:eastAsia="uk-UA"/>
        </w:rPr>
        <w:t>5-05/11227</w:t>
      </w:r>
      <w:r>
        <w:rPr>
          <w:lang w:val="uk-UA" w:eastAsia="uk-UA"/>
        </w:rPr>
        <w:t xml:space="preserve"> від </w:t>
      </w:r>
      <w:r w:rsidR="0078634A">
        <w:rPr>
          <w:lang w:val="uk-UA" w:eastAsia="uk-UA"/>
        </w:rPr>
        <w:t>10.08</w:t>
      </w:r>
      <w:r>
        <w:rPr>
          <w:lang w:val="uk-UA" w:eastAsia="uk-UA"/>
        </w:rPr>
        <w:t xml:space="preserve">.2021) Виконавчий комітет Білоцерківської міської ради </w:t>
      </w:r>
      <w:r w:rsidRPr="006E698E">
        <w:rPr>
          <w:lang w:val="uk-UA" w:eastAsia="uk-UA"/>
        </w:rPr>
        <w:t>нада</w:t>
      </w:r>
      <w:r>
        <w:rPr>
          <w:lang w:val="uk-UA" w:eastAsia="uk-UA"/>
        </w:rPr>
        <w:t>в</w:t>
      </w:r>
      <w:r w:rsidRPr="006E698E">
        <w:rPr>
          <w:lang w:val="uk-UA" w:eastAsia="uk-UA"/>
        </w:rPr>
        <w:t xml:space="preserve"> </w:t>
      </w:r>
      <w:r w:rsidRPr="006E698E">
        <w:rPr>
          <w:lang w:val="uk-UA"/>
        </w:rPr>
        <w:t>додаткову інформацію для розгляду Справи</w:t>
      </w:r>
      <w:r w:rsidRPr="006E698E">
        <w:rPr>
          <w:color w:val="000000" w:themeColor="text1"/>
          <w:lang w:val="uk-UA"/>
        </w:rPr>
        <w:t>.</w:t>
      </w:r>
    </w:p>
    <w:p w:rsidR="00617BFA" w:rsidRPr="006E698E" w:rsidRDefault="00617BFA" w:rsidP="00CA48DE">
      <w:pPr>
        <w:pStyle w:val="rvps2"/>
        <w:spacing w:before="0" w:beforeAutospacing="0" w:after="0" w:afterAutospacing="0"/>
        <w:jc w:val="both"/>
        <w:rPr>
          <w:color w:val="000000" w:themeColor="text1"/>
          <w:lang w:val="uk-UA" w:eastAsia="uk-UA"/>
        </w:rPr>
      </w:pPr>
    </w:p>
    <w:p w:rsidR="006E6DC7" w:rsidRPr="006E698E" w:rsidRDefault="006E6DC7" w:rsidP="006E6DC7">
      <w:pPr>
        <w:pStyle w:val="rvps2"/>
        <w:numPr>
          <w:ilvl w:val="0"/>
          <w:numId w:val="1"/>
        </w:numPr>
        <w:spacing w:before="0" w:beforeAutospacing="0" w:after="0" w:afterAutospacing="0"/>
        <w:ind w:left="567" w:hanging="567"/>
        <w:jc w:val="both"/>
        <w:rPr>
          <w:b/>
          <w:lang w:val="uk-UA" w:eastAsia="uk-UA"/>
        </w:rPr>
      </w:pPr>
      <w:r w:rsidRPr="006E698E">
        <w:rPr>
          <w:b/>
          <w:lang w:val="uk-UA" w:eastAsia="uk-UA"/>
        </w:rPr>
        <w:t>ВІДОМОСТІ ТА ІНФОРМАЦІЯ ВІД НАДАВАЧА ПІДТРИМКИ</w:t>
      </w:r>
    </w:p>
    <w:p w:rsidR="006E6DC7" w:rsidRPr="006E698E" w:rsidRDefault="006E6DC7" w:rsidP="006E6DC7">
      <w:pPr>
        <w:pStyle w:val="rvps2"/>
        <w:spacing w:before="0" w:beforeAutospacing="0" w:after="0" w:afterAutospacing="0"/>
        <w:ind w:left="567"/>
        <w:jc w:val="both"/>
        <w:rPr>
          <w:b/>
          <w:lang w:val="uk-UA" w:eastAsia="uk-UA"/>
        </w:rPr>
      </w:pPr>
    </w:p>
    <w:p w:rsidR="00FE7E28" w:rsidRPr="006E698E" w:rsidRDefault="00FE7E28" w:rsidP="00FE7E28">
      <w:pPr>
        <w:pStyle w:val="rvps2"/>
        <w:numPr>
          <w:ilvl w:val="1"/>
          <w:numId w:val="1"/>
        </w:numPr>
        <w:spacing w:before="0" w:beforeAutospacing="0" w:after="0" w:afterAutospacing="0"/>
        <w:ind w:left="567" w:hanging="567"/>
        <w:jc w:val="both"/>
        <w:rPr>
          <w:b/>
          <w:lang w:val="uk-UA" w:eastAsia="uk-UA"/>
        </w:rPr>
      </w:pPr>
      <w:r w:rsidRPr="006E698E">
        <w:rPr>
          <w:b/>
          <w:lang w:val="uk-UA" w:eastAsia="uk-UA"/>
        </w:rPr>
        <w:t>Надавач підтримки</w:t>
      </w:r>
    </w:p>
    <w:p w:rsidR="00FE7E28" w:rsidRPr="006E698E" w:rsidRDefault="00FE7E28" w:rsidP="00FE7E28">
      <w:pPr>
        <w:pStyle w:val="a3"/>
        <w:ind w:left="567" w:hanging="567"/>
      </w:pPr>
    </w:p>
    <w:p w:rsidR="00095F0D" w:rsidRPr="006E698E" w:rsidRDefault="00095F0D" w:rsidP="00095F0D">
      <w:pPr>
        <w:pStyle w:val="rvps2"/>
        <w:numPr>
          <w:ilvl w:val="0"/>
          <w:numId w:val="2"/>
        </w:numPr>
        <w:spacing w:before="0" w:beforeAutospacing="0" w:after="0" w:afterAutospacing="0"/>
        <w:ind w:left="567" w:hanging="567"/>
        <w:jc w:val="both"/>
        <w:rPr>
          <w:lang w:val="uk-UA"/>
        </w:rPr>
      </w:pPr>
      <w:r w:rsidRPr="006E698E">
        <w:rPr>
          <w:lang w:val="uk-UA" w:eastAsia="uk-UA"/>
        </w:rPr>
        <w:t>Виконавчий комітет Білоцерківської міської ради (09117, м. Біла Церква,                    вул. Ярослава Мудрого, 15, ідентифікаційний код юридичної особи 04055009)                           (далі – Надавач 1).</w:t>
      </w:r>
    </w:p>
    <w:p w:rsidR="00095F0D" w:rsidRPr="006E698E" w:rsidRDefault="00095F0D" w:rsidP="00095F0D">
      <w:pPr>
        <w:pStyle w:val="rvps2"/>
        <w:spacing w:before="0" w:beforeAutospacing="0" w:after="0" w:afterAutospacing="0"/>
        <w:ind w:left="567" w:hanging="567"/>
        <w:jc w:val="both"/>
        <w:rPr>
          <w:lang w:val="uk-UA"/>
        </w:rPr>
      </w:pPr>
    </w:p>
    <w:p w:rsidR="00095F0D" w:rsidRPr="006E698E" w:rsidRDefault="00095F0D" w:rsidP="00095F0D">
      <w:pPr>
        <w:pStyle w:val="rvps2"/>
        <w:numPr>
          <w:ilvl w:val="0"/>
          <w:numId w:val="2"/>
        </w:numPr>
        <w:spacing w:before="0" w:beforeAutospacing="0" w:after="0" w:afterAutospacing="0"/>
        <w:ind w:left="567" w:hanging="567"/>
        <w:jc w:val="both"/>
        <w:rPr>
          <w:lang w:val="uk-UA"/>
        </w:rPr>
      </w:pPr>
      <w:r w:rsidRPr="006E698E">
        <w:rPr>
          <w:lang w:val="uk-UA"/>
        </w:rPr>
        <w:t xml:space="preserve">Управління соціального захисту населення </w:t>
      </w:r>
      <w:r w:rsidRPr="006E698E">
        <w:rPr>
          <w:lang w:val="uk-UA" w:eastAsia="uk-UA"/>
        </w:rPr>
        <w:t>Білоцерківської міської ради (09100, м. Біла Церква, вул. Ярослава Мудрого, 2, ідентифікаційний код юридичної особи 03193643) (далі – Надавач 2).</w:t>
      </w:r>
    </w:p>
    <w:p w:rsidR="00095F0D" w:rsidRPr="006E698E" w:rsidRDefault="00095F0D" w:rsidP="00095F0D">
      <w:pPr>
        <w:pStyle w:val="rvps2"/>
        <w:spacing w:before="0" w:beforeAutospacing="0" w:after="0" w:afterAutospacing="0"/>
        <w:ind w:left="360"/>
        <w:jc w:val="both"/>
        <w:rPr>
          <w:b/>
          <w:lang w:val="uk-UA" w:eastAsia="uk-UA"/>
        </w:rPr>
      </w:pPr>
    </w:p>
    <w:p w:rsidR="00095F0D" w:rsidRPr="006E698E" w:rsidRDefault="00095F0D" w:rsidP="00095F0D">
      <w:pPr>
        <w:pStyle w:val="rvps2"/>
        <w:numPr>
          <w:ilvl w:val="1"/>
          <w:numId w:val="35"/>
        </w:numPr>
        <w:spacing w:before="0" w:beforeAutospacing="0" w:after="0" w:afterAutospacing="0"/>
        <w:ind w:left="567" w:hanging="567"/>
        <w:jc w:val="both"/>
        <w:rPr>
          <w:b/>
          <w:lang w:val="uk-UA" w:eastAsia="uk-UA"/>
        </w:rPr>
      </w:pPr>
      <w:r w:rsidRPr="006E698E">
        <w:rPr>
          <w:b/>
          <w:lang w:val="uk-UA" w:eastAsia="uk-UA"/>
        </w:rPr>
        <w:t>Отримувач підтримки</w:t>
      </w:r>
    </w:p>
    <w:p w:rsidR="00095F0D" w:rsidRPr="006E698E" w:rsidRDefault="00095F0D" w:rsidP="0010609F">
      <w:pPr>
        <w:pStyle w:val="rvps2"/>
        <w:numPr>
          <w:ilvl w:val="0"/>
          <w:numId w:val="2"/>
        </w:numPr>
        <w:ind w:left="567" w:hanging="567"/>
        <w:jc w:val="both"/>
        <w:rPr>
          <w:lang w:val="uk-UA" w:eastAsia="uk-UA"/>
        </w:rPr>
      </w:pPr>
      <w:r w:rsidRPr="006E698E">
        <w:rPr>
          <w:lang w:val="uk-UA" w:eastAsia="uk-UA"/>
        </w:rPr>
        <w:t>Комунальне підприємство Білоцерківської міської ради «Тролейбусне управління» (далі – КП БЦМР «Тролейбусне управління», Підприємство, Отримувач) (09108,          м</w:t>
      </w:r>
      <w:r w:rsidR="00617BFA">
        <w:rPr>
          <w:lang w:val="uk-UA" w:eastAsia="uk-UA"/>
        </w:rPr>
        <w:t>. </w:t>
      </w:r>
      <w:r w:rsidRPr="006E698E">
        <w:rPr>
          <w:lang w:val="uk-UA" w:eastAsia="uk-UA"/>
        </w:rPr>
        <w:t>Біла Церква, вул. Леваневського, 135-а, ідентифікаційний код юридичної особи 13705191).</w:t>
      </w:r>
    </w:p>
    <w:p w:rsidR="00095F0D" w:rsidRPr="006E698E" w:rsidRDefault="00095F0D" w:rsidP="00095F0D">
      <w:pPr>
        <w:pStyle w:val="rvps2"/>
        <w:numPr>
          <w:ilvl w:val="1"/>
          <w:numId w:val="35"/>
        </w:numPr>
        <w:spacing w:before="0" w:beforeAutospacing="0" w:after="0" w:afterAutospacing="0"/>
        <w:ind w:left="567" w:hanging="567"/>
        <w:jc w:val="both"/>
        <w:rPr>
          <w:b/>
          <w:lang w:val="uk-UA" w:eastAsia="uk-UA"/>
        </w:rPr>
      </w:pPr>
      <w:r w:rsidRPr="006E698E">
        <w:rPr>
          <w:b/>
          <w:lang w:val="uk-UA" w:eastAsia="uk-UA"/>
        </w:rPr>
        <w:t>Мета (ціль) підтримки</w:t>
      </w:r>
    </w:p>
    <w:p w:rsidR="00095F0D" w:rsidRPr="006E698E" w:rsidRDefault="00095F0D" w:rsidP="00095F0D">
      <w:pPr>
        <w:pStyle w:val="rvps2"/>
        <w:tabs>
          <w:tab w:val="left" w:pos="3463"/>
        </w:tabs>
        <w:spacing w:before="0" w:beforeAutospacing="0" w:after="0" w:afterAutospacing="0"/>
        <w:ind w:left="567" w:hanging="567"/>
        <w:jc w:val="both"/>
        <w:rPr>
          <w:lang w:val="uk-UA" w:eastAsia="uk-UA"/>
        </w:rPr>
      </w:pPr>
      <w:r w:rsidRPr="006E698E">
        <w:rPr>
          <w:lang w:val="uk-UA" w:eastAsia="uk-UA"/>
        </w:rPr>
        <w:tab/>
      </w:r>
      <w:r w:rsidRPr="006E698E">
        <w:rPr>
          <w:lang w:val="uk-UA" w:eastAsia="uk-UA"/>
        </w:rPr>
        <w:tab/>
      </w:r>
    </w:p>
    <w:p w:rsidR="00095F0D" w:rsidRPr="006E698E" w:rsidRDefault="00095F0D" w:rsidP="00095F0D">
      <w:pPr>
        <w:numPr>
          <w:ilvl w:val="0"/>
          <w:numId w:val="2"/>
        </w:numPr>
        <w:tabs>
          <w:tab w:val="num" w:pos="0"/>
        </w:tabs>
        <w:ind w:left="567" w:hanging="567"/>
        <w:jc w:val="both"/>
      </w:pPr>
      <w:r w:rsidRPr="006E698E">
        <w:t>Метою (ціллю) підтримки є:</w:t>
      </w:r>
    </w:p>
    <w:p w:rsidR="00095F0D" w:rsidRPr="006E698E" w:rsidRDefault="00095F0D" w:rsidP="00095F0D">
      <w:pPr>
        <w:ind w:left="567"/>
        <w:jc w:val="both"/>
      </w:pPr>
    </w:p>
    <w:p w:rsidR="00095F0D" w:rsidRPr="006E698E" w:rsidRDefault="00095F0D" w:rsidP="00095F0D">
      <w:pPr>
        <w:pStyle w:val="a3"/>
        <w:numPr>
          <w:ilvl w:val="0"/>
          <w:numId w:val="36"/>
        </w:numPr>
        <w:spacing w:after="100" w:afterAutospacing="1"/>
        <w:ind w:left="567" w:hanging="567"/>
        <w:jc w:val="both"/>
      </w:pPr>
      <w:r w:rsidRPr="006E698E">
        <w:t>виконання загальнодержавних програм розвитку;</w:t>
      </w:r>
    </w:p>
    <w:p w:rsidR="00095F0D" w:rsidRPr="006E698E" w:rsidRDefault="00095F0D" w:rsidP="00095F0D">
      <w:pPr>
        <w:pStyle w:val="a3"/>
        <w:numPr>
          <w:ilvl w:val="0"/>
          <w:numId w:val="36"/>
        </w:numPr>
        <w:spacing w:after="100" w:afterAutospacing="1"/>
        <w:ind w:left="567" w:hanging="567"/>
        <w:jc w:val="both"/>
      </w:pPr>
      <w:r w:rsidRPr="006E698E">
        <w:t>розв’язання соціальних та економічних проблем загальнонаціонального характеру;</w:t>
      </w:r>
    </w:p>
    <w:p w:rsidR="00095F0D" w:rsidRPr="006E698E" w:rsidRDefault="00095F0D" w:rsidP="00095F0D">
      <w:pPr>
        <w:pStyle w:val="a3"/>
        <w:numPr>
          <w:ilvl w:val="0"/>
          <w:numId w:val="36"/>
        </w:numPr>
        <w:spacing w:after="100" w:afterAutospacing="1"/>
        <w:ind w:left="567" w:hanging="567"/>
        <w:jc w:val="both"/>
      </w:pPr>
      <w:r w:rsidRPr="006E698E">
        <w:t>сприяння окремим видам господарської діяльності;</w:t>
      </w:r>
    </w:p>
    <w:p w:rsidR="00095F0D" w:rsidRPr="006E698E" w:rsidRDefault="00095F0D" w:rsidP="00095F0D">
      <w:pPr>
        <w:pStyle w:val="a3"/>
        <w:numPr>
          <w:ilvl w:val="0"/>
          <w:numId w:val="36"/>
        </w:numPr>
        <w:spacing w:after="100" w:afterAutospacing="1"/>
        <w:ind w:left="567" w:hanging="567"/>
        <w:jc w:val="both"/>
      </w:pPr>
      <w:r w:rsidRPr="006E698E">
        <w:t xml:space="preserve">створення належних умов для надання населенню доступних, якісних та безпечних послуг </w:t>
      </w:r>
      <w:r w:rsidR="00617BFA">
        <w:t>і</w:t>
      </w:r>
      <w:r w:rsidRPr="006E698E">
        <w:t>з перевезення громадян міським електротранспортом;</w:t>
      </w:r>
    </w:p>
    <w:p w:rsidR="00095F0D" w:rsidRPr="006E698E" w:rsidRDefault="00095F0D" w:rsidP="00095F0D">
      <w:pPr>
        <w:pStyle w:val="a3"/>
        <w:numPr>
          <w:ilvl w:val="0"/>
          <w:numId w:val="36"/>
        </w:numPr>
        <w:spacing w:after="100" w:afterAutospacing="1"/>
        <w:ind w:left="567" w:hanging="567"/>
        <w:jc w:val="both"/>
      </w:pPr>
      <w:r w:rsidRPr="006E698E">
        <w:t xml:space="preserve">забезпечення сталого функціонування </w:t>
      </w:r>
      <w:r w:rsidR="00617BFA">
        <w:t>й</w:t>
      </w:r>
      <w:r w:rsidR="00617BFA" w:rsidRPr="006E698E">
        <w:t xml:space="preserve"> </w:t>
      </w:r>
      <w:r w:rsidRPr="006E698E">
        <w:t>подальшого розвитку міського електротранспорту;</w:t>
      </w:r>
    </w:p>
    <w:p w:rsidR="00095F0D" w:rsidRPr="006E698E" w:rsidRDefault="00095F0D" w:rsidP="00095F0D">
      <w:pPr>
        <w:pStyle w:val="a3"/>
        <w:numPr>
          <w:ilvl w:val="0"/>
          <w:numId w:val="36"/>
        </w:numPr>
        <w:spacing w:after="100" w:afterAutospacing="1"/>
        <w:ind w:left="567" w:hanging="567"/>
        <w:jc w:val="both"/>
      </w:pPr>
      <w:r w:rsidRPr="006E698E">
        <w:t>розвиток маршрутної мережі електротранспорту, придбання нових сучасних                          тролейбусів (25 одиниць);</w:t>
      </w:r>
    </w:p>
    <w:p w:rsidR="00095F0D" w:rsidRPr="006E698E" w:rsidRDefault="00095F0D" w:rsidP="00095F0D">
      <w:pPr>
        <w:pStyle w:val="a3"/>
        <w:numPr>
          <w:ilvl w:val="0"/>
          <w:numId w:val="36"/>
        </w:numPr>
        <w:spacing w:after="100" w:afterAutospacing="1"/>
        <w:ind w:left="567" w:hanging="567"/>
        <w:jc w:val="both"/>
      </w:pPr>
      <w:r w:rsidRPr="006E698E">
        <w:t xml:space="preserve">збільшення питомої ваги електротранспорту </w:t>
      </w:r>
      <w:r w:rsidR="00617BFA">
        <w:t>в</w:t>
      </w:r>
      <w:r w:rsidR="00617BFA" w:rsidRPr="006E698E">
        <w:t xml:space="preserve"> </w:t>
      </w:r>
      <w:r w:rsidRPr="006E698E">
        <w:t>міських пасажирських перевезеннях, його пріоритетний розвиток у місті як екологічно чистого виду транспорту.</w:t>
      </w:r>
    </w:p>
    <w:p w:rsidR="00617BFA" w:rsidRDefault="00617BFA" w:rsidP="0010609F">
      <w:pPr>
        <w:pStyle w:val="rvps2"/>
        <w:spacing w:before="0" w:beforeAutospacing="0" w:after="0" w:afterAutospacing="0"/>
        <w:ind w:left="567"/>
        <w:jc w:val="both"/>
        <w:rPr>
          <w:b/>
          <w:lang w:val="uk-UA" w:eastAsia="uk-UA"/>
        </w:rPr>
      </w:pPr>
    </w:p>
    <w:p w:rsidR="00F355AE" w:rsidRDefault="00F355AE" w:rsidP="0010609F">
      <w:pPr>
        <w:pStyle w:val="rvps2"/>
        <w:spacing w:before="0" w:beforeAutospacing="0" w:after="0" w:afterAutospacing="0"/>
        <w:ind w:left="567"/>
        <w:jc w:val="both"/>
        <w:rPr>
          <w:b/>
          <w:lang w:val="uk-UA" w:eastAsia="uk-UA"/>
        </w:rPr>
      </w:pPr>
    </w:p>
    <w:p w:rsidR="00617BFA" w:rsidRPr="00617BFA" w:rsidRDefault="00617BFA" w:rsidP="0010609F">
      <w:pPr>
        <w:pStyle w:val="rvps2"/>
        <w:spacing w:before="0" w:beforeAutospacing="0" w:after="0" w:afterAutospacing="0"/>
        <w:ind w:left="567"/>
        <w:jc w:val="both"/>
        <w:rPr>
          <w:b/>
          <w:lang w:val="uk-UA" w:eastAsia="uk-UA"/>
        </w:rPr>
      </w:pPr>
    </w:p>
    <w:p w:rsidR="00095F0D" w:rsidRPr="006E698E" w:rsidRDefault="00095F0D" w:rsidP="00095F0D">
      <w:pPr>
        <w:pStyle w:val="rvps2"/>
        <w:numPr>
          <w:ilvl w:val="1"/>
          <w:numId w:val="35"/>
        </w:numPr>
        <w:spacing w:before="0" w:beforeAutospacing="0" w:after="0" w:afterAutospacing="0"/>
        <w:ind w:left="567" w:hanging="567"/>
        <w:jc w:val="both"/>
        <w:rPr>
          <w:b/>
          <w:lang w:val="uk-UA" w:eastAsia="uk-UA"/>
        </w:rPr>
      </w:pPr>
      <w:r w:rsidRPr="006E698E">
        <w:rPr>
          <w:b/>
          <w:lang w:val="uk-UA" w:eastAsia="uk-UA"/>
        </w:rPr>
        <w:lastRenderedPageBreak/>
        <w:t>Очікуваний результат</w:t>
      </w:r>
    </w:p>
    <w:p w:rsidR="00095F0D" w:rsidRPr="006E698E" w:rsidRDefault="00095F0D" w:rsidP="00095F0D">
      <w:pPr>
        <w:pStyle w:val="rvps2"/>
        <w:spacing w:before="0" w:beforeAutospacing="0" w:after="0" w:afterAutospacing="0"/>
        <w:ind w:left="567" w:hanging="567"/>
        <w:jc w:val="both"/>
        <w:rPr>
          <w:lang w:val="uk-UA" w:eastAsia="uk-UA"/>
        </w:rPr>
      </w:pPr>
    </w:p>
    <w:p w:rsidR="00095F0D" w:rsidRPr="006E698E" w:rsidRDefault="00095F0D" w:rsidP="00095F0D">
      <w:pPr>
        <w:pStyle w:val="rvps2"/>
        <w:numPr>
          <w:ilvl w:val="0"/>
          <w:numId w:val="2"/>
        </w:numPr>
        <w:spacing w:before="0" w:beforeAutospacing="0" w:after="0" w:afterAutospacing="0"/>
        <w:ind w:left="567" w:hanging="567"/>
        <w:jc w:val="both"/>
        <w:rPr>
          <w:lang w:val="uk-UA" w:eastAsia="uk-UA"/>
        </w:rPr>
      </w:pPr>
      <w:r w:rsidRPr="006E698E">
        <w:rPr>
          <w:lang w:val="uk-UA"/>
        </w:rPr>
        <w:t>Покращення якості пасажирських перевезень міським електротранспортом, підвищення основних техніко-економічних показників роботи Підприємства, зокрема:</w:t>
      </w:r>
    </w:p>
    <w:p w:rsidR="00095F0D" w:rsidRPr="006E698E" w:rsidRDefault="00095F0D" w:rsidP="00095F0D">
      <w:pPr>
        <w:pStyle w:val="rvps2"/>
        <w:spacing w:before="0" w:beforeAutospacing="0" w:after="0" w:afterAutospacing="0"/>
        <w:ind w:left="567"/>
        <w:jc w:val="both"/>
        <w:rPr>
          <w:lang w:val="uk-UA" w:eastAsia="uk-UA"/>
        </w:rPr>
      </w:pPr>
    </w:p>
    <w:p w:rsidR="00095F0D" w:rsidRPr="006E698E" w:rsidRDefault="00095F0D" w:rsidP="00095F0D">
      <w:pPr>
        <w:pStyle w:val="rvps2"/>
        <w:spacing w:before="0" w:beforeAutospacing="0" w:after="0" w:afterAutospacing="0"/>
        <w:ind w:left="567" w:hanging="567"/>
        <w:jc w:val="both"/>
        <w:rPr>
          <w:lang w:val="uk-UA"/>
        </w:rPr>
      </w:pPr>
      <w:r w:rsidRPr="006E698E">
        <w:rPr>
          <w:lang w:val="uk-UA"/>
        </w:rPr>
        <w:t xml:space="preserve">- </w:t>
      </w:r>
      <w:r w:rsidRPr="006E698E">
        <w:rPr>
          <w:lang w:val="uk-UA"/>
        </w:rPr>
        <w:tab/>
        <w:t xml:space="preserve">підвищення рівня задоволення потреб населення у високоякісних та безпечних перевезеннях тролейбусами за рахунок збільшення випуску рухомого складу на лінії та зменшення інтервалів руху; </w:t>
      </w:r>
    </w:p>
    <w:p w:rsidR="00095F0D" w:rsidRPr="006E698E" w:rsidRDefault="00095F0D" w:rsidP="00095F0D">
      <w:pPr>
        <w:pStyle w:val="rvps2"/>
        <w:spacing w:before="0" w:beforeAutospacing="0" w:after="0" w:afterAutospacing="0"/>
        <w:ind w:left="567" w:hanging="567"/>
        <w:jc w:val="both"/>
        <w:rPr>
          <w:lang w:val="uk-UA"/>
        </w:rPr>
      </w:pPr>
      <w:r w:rsidRPr="006E698E">
        <w:rPr>
          <w:lang w:val="uk-UA"/>
        </w:rPr>
        <w:t>-</w:t>
      </w:r>
      <w:r w:rsidRPr="006E698E">
        <w:rPr>
          <w:lang w:val="uk-UA"/>
        </w:rPr>
        <w:tab/>
        <w:t>забезпечення розвитку екологічно чистого міського пасажирського електротранспорту;</w:t>
      </w:r>
    </w:p>
    <w:p w:rsidR="00095F0D" w:rsidRPr="006E698E" w:rsidRDefault="00095F0D" w:rsidP="00095F0D">
      <w:pPr>
        <w:pStyle w:val="rvps2"/>
        <w:spacing w:before="0" w:beforeAutospacing="0" w:after="0" w:afterAutospacing="0"/>
        <w:ind w:left="567" w:hanging="567"/>
        <w:jc w:val="both"/>
        <w:rPr>
          <w:lang w:val="uk-UA"/>
        </w:rPr>
      </w:pPr>
      <w:r w:rsidRPr="006E698E">
        <w:rPr>
          <w:lang w:val="uk-UA"/>
        </w:rPr>
        <w:t xml:space="preserve">- </w:t>
      </w:r>
      <w:r w:rsidRPr="006E698E">
        <w:rPr>
          <w:lang w:val="uk-UA"/>
        </w:rPr>
        <w:tab/>
        <w:t xml:space="preserve">створення нових робочих місць; </w:t>
      </w:r>
    </w:p>
    <w:p w:rsidR="00095F0D" w:rsidRPr="006E698E" w:rsidRDefault="00095F0D" w:rsidP="00095F0D">
      <w:pPr>
        <w:pStyle w:val="rvps2"/>
        <w:spacing w:before="0" w:beforeAutospacing="0" w:after="0" w:afterAutospacing="0"/>
        <w:ind w:left="567" w:hanging="567"/>
        <w:jc w:val="both"/>
        <w:rPr>
          <w:lang w:val="uk-UA"/>
        </w:rPr>
      </w:pPr>
      <w:r w:rsidRPr="006E698E">
        <w:rPr>
          <w:lang w:val="uk-UA"/>
        </w:rPr>
        <w:t xml:space="preserve">- </w:t>
      </w:r>
      <w:r w:rsidRPr="006E698E">
        <w:rPr>
          <w:lang w:val="uk-UA"/>
        </w:rPr>
        <w:tab/>
        <w:t>покращення стану безпеки дорожнього руху;</w:t>
      </w:r>
    </w:p>
    <w:p w:rsidR="00095F0D" w:rsidRPr="006E698E" w:rsidRDefault="00095F0D" w:rsidP="00095F0D">
      <w:pPr>
        <w:pStyle w:val="rvps2"/>
        <w:numPr>
          <w:ilvl w:val="0"/>
          <w:numId w:val="36"/>
        </w:numPr>
        <w:spacing w:before="0" w:beforeAutospacing="0" w:after="0" w:afterAutospacing="0"/>
        <w:ind w:left="567" w:hanging="567"/>
        <w:jc w:val="both"/>
        <w:rPr>
          <w:lang w:val="uk-UA"/>
        </w:rPr>
      </w:pPr>
      <w:r w:rsidRPr="006E698E">
        <w:rPr>
          <w:lang w:val="uk-UA"/>
        </w:rPr>
        <w:t>оновлення парку електротранспорту сучасним рухомим складом (25 тролейбусів) та капітальний ремонт рухомого складу (17 одиниць).</w:t>
      </w:r>
    </w:p>
    <w:p w:rsidR="00295C72" w:rsidRPr="006E698E" w:rsidRDefault="00295C72" w:rsidP="00295C72">
      <w:pPr>
        <w:pStyle w:val="rvps2"/>
        <w:spacing w:before="0" w:beforeAutospacing="0" w:after="0" w:afterAutospacing="0"/>
        <w:ind w:left="567"/>
        <w:jc w:val="both"/>
        <w:rPr>
          <w:lang w:val="uk-UA"/>
        </w:rPr>
      </w:pPr>
    </w:p>
    <w:p w:rsidR="00095F0D" w:rsidRPr="006E698E" w:rsidRDefault="00095F0D" w:rsidP="00095F0D">
      <w:pPr>
        <w:pStyle w:val="rvps2"/>
        <w:numPr>
          <w:ilvl w:val="1"/>
          <w:numId w:val="35"/>
        </w:numPr>
        <w:spacing w:before="0" w:beforeAutospacing="0" w:after="0" w:afterAutospacing="0"/>
        <w:ind w:left="567" w:hanging="567"/>
        <w:jc w:val="both"/>
        <w:rPr>
          <w:b/>
          <w:lang w:val="uk-UA" w:eastAsia="uk-UA"/>
        </w:rPr>
      </w:pPr>
      <w:r w:rsidRPr="006E698E">
        <w:rPr>
          <w:b/>
          <w:lang w:val="uk-UA" w:eastAsia="uk-UA"/>
        </w:rPr>
        <w:t>Підстава для надання підтримки</w:t>
      </w:r>
    </w:p>
    <w:p w:rsidR="00095F0D" w:rsidRPr="006E698E" w:rsidRDefault="00095F0D" w:rsidP="00095F0D">
      <w:pPr>
        <w:pStyle w:val="rvps2"/>
        <w:spacing w:before="0" w:beforeAutospacing="0" w:after="0" w:afterAutospacing="0"/>
        <w:ind w:left="567" w:hanging="567"/>
        <w:jc w:val="both"/>
        <w:rPr>
          <w:lang w:val="uk-UA" w:eastAsia="uk-UA"/>
        </w:rPr>
      </w:pPr>
    </w:p>
    <w:p w:rsidR="00095F0D" w:rsidRPr="006E698E" w:rsidRDefault="00095F0D" w:rsidP="00095F0D">
      <w:pPr>
        <w:pStyle w:val="rvps2"/>
        <w:numPr>
          <w:ilvl w:val="0"/>
          <w:numId w:val="2"/>
        </w:numPr>
        <w:tabs>
          <w:tab w:val="num" w:pos="0"/>
        </w:tabs>
        <w:spacing w:before="0" w:beforeAutospacing="0" w:after="0" w:afterAutospacing="0"/>
        <w:ind w:left="567" w:hanging="567"/>
        <w:jc w:val="both"/>
        <w:rPr>
          <w:lang w:val="uk-UA" w:eastAsia="uk-UA"/>
        </w:rPr>
      </w:pPr>
      <w:r w:rsidRPr="006E698E">
        <w:rPr>
          <w:lang w:val="uk-UA" w:eastAsia="uk-UA"/>
        </w:rPr>
        <w:t>Закон України «Про місцеве самоврядування в Україні».</w:t>
      </w:r>
    </w:p>
    <w:p w:rsidR="00095F0D" w:rsidRPr="006E698E" w:rsidRDefault="00095F0D" w:rsidP="00095F0D">
      <w:pPr>
        <w:pStyle w:val="rvps2"/>
        <w:spacing w:before="0" w:beforeAutospacing="0" w:after="0" w:afterAutospacing="0"/>
        <w:ind w:left="567"/>
        <w:jc w:val="both"/>
        <w:rPr>
          <w:lang w:val="uk-UA" w:eastAsia="uk-UA"/>
        </w:rPr>
      </w:pPr>
    </w:p>
    <w:p w:rsidR="00095F0D" w:rsidRPr="006E698E" w:rsidRDefault="00095F0D" w:rsidP="00095F0D">
      <w:pPr>
        <w:pStyle w:val="rvps2"/>
        <w:numPr>
          <w:ilvl w:val="0"/>
          <w:numId w:val="2"/>
        </w:numPr>
        <w:spacing w:before="0" w:beforeAutospacing="0" w:after="0" w:afterAutospacing="0"/>
        <w:ind w:left="567" w:hanging="567"/>
        <w:jc w:val="both"/>
        <w:rPr>
          <w:lang w:val="uk-UA" w:eastAsia="uk-UA"/>
        </w:rPr>
      </w:pPr>
      <w:r w:rsidRPr="006E698E">
        <w:rPr>
          <w:lang w:val="uk-UA" w:eastAsia="uk-UA"/>
        </w:rPr>
        <w:t>Закон України «Про міський електричний транспорт».</w:t>
      </w:r>
    </w:p>
    <w:p w:rsidR="00095F0D" w:rsidRPr="006E698E" w:rsidRDefault="00095F0D" w:rsidP="00095F0D">
      <w:pPr>
        <w:pStyle w:val="rvps2"/>
        <w:spacing w:before="0" w:beforeAutospacing="0" w:after="0" w:afterAutospacing="0"/>
        <w:jc w:val="both"/>
        <w:rPr>
          <w:lang w:val="uk-UA" w:eastAsia="uk-UA"/>
        </w:rPr>
      </w:pPr>
    </w:p>
    <w:p w:rsidR="00095F0D" w:rsidRPr="006E698E" w:rsidRDefault="00095F0D" w:rsidP="00095F0D">
      <w:pPr>
        <w:pStyle w:val="rvps2"/>
        <w:numPr>
          <w:ilvl w:val="0"/>
          <w:numId w:val="2"/>
        </w:numPr>
        <w:spacing w:before="0" w:beforeAutospacing="0" w:after="0" w:afterAutospacing="0"/>
        <w:ind w:left="567" w:hanging="567"/>
        <w:jc w:val="both"/>
        <w:rPr>
          <w:lang w:val="uk-UA" w:eastAsia="uk-UA"/>
        </w:rPr>
      </w:pPr>
      <w:r w:rsidRPr="006E698E">
        <w:rPr>
          <w:lang w:val="uk-UA"/>
        </w:rPr>
        <w:t>Рішення Білоцерківської міської ради від 24.12.2020 № 58-05-VIII «</w:t>
      </w:r>
      <w:r w:rsidRPr="006E698E">
        <w:rPr>
          <w:lang w:val="uk-UA" w:eastAsia="uk-UA"/>
        </w:rPr>
        <w:t>Про затвердження Програми надання окремих видів пільг на 2021-2023 роки» (далі – Програма 1)</w:t>
      </w:r>
      <w:r w:rsidRPr="006E698E">
        <w:rPr>
          <w:lang w:val="uk-UA"/>
        </w:rPr>
        <w:t>.</w:t>
      </w:r>
    </w:p>
    <w:p w:rsidR="00095F0D" w:rsidRPr="006E698E" w:rsidRDefault="00095F0D" w:rsidP="00095F0D">
      <w:pPr>
        <w:pStyle w:val="rvps2"/>
        <w:spacing w:before="0" w:beforeAutospacing="0" w:after="0" w:afterAutospacing="0"/>
        <w:jc w:val="both"/>
        <w:rPr>
          <w:lang w:val="uk-UA" w:eastAsia="uk-UA"/>
        </w:rPr>
      </w:pPr>
    </w:p>
    <w:p w:rsidR="00095F0D" w:rsidRPr="006E698E" w:rsidRDefault="00C50D01" w:rsidP="00095F0D">
      <w:pPr>
        <w:pStyle w:val="rvps2"/>
        <w:numPr>
          <w:ilvl w:val="0"/>
          <w:numId w:val="2"/>
        </w:numPr>
        <w:spacing w:before="0" w:beforeAutospacing="0" w:after="0" w:afterAutospacing="0"/>
        <w:ind w:left="567" w:hanging="567"/>
        <w:jc w:val="both"/>
        <w:rPr>
          <w:lang w:val="uk-UA" w:eastAsia="uk-UA"/>
        </w:rPr>
      </w:pPr>
      <w:r w:rsidRPr="006E698E">
        <w:rPr>
          <w:lang w:val="uk-UA"/>
        </w:rPr>
        <w:t xml:space="preserve">Проєкти рішень виконавчого комітету Білоцерківської міської ради </w:t>
      </w:r>
      <w:r w:rsidR="0079254C" w:rsidRPr="006E698E">
        <w:rPr>
          <w:lang w:val="uk-UA"/>
        </w:rPr>
        <w:t>«П</w:t>
      </w:r>
      <w:r w:rsidRPr="006E698E">
        <w:rPr>
          <w:lang w:val="uk-UA"/>
        </w:rPr>
        <w:t>ро затвердження висновку комісії по здійсненню контролю за фінансово-господарською діяльністю підприємств комунальної власності Білоцерківської міської територіальної громади на 2021 – 2025 роки</w:t>
      </w:r>
      <w:r w:rsidR="0079254C" w:rsidRPr="006E698E">
        <w:rPr>
          <w:lang w:val="uk-UA"/>
        </w:rPr>
        <w:t>»</w:t>
      </w:r>
      <w:r w:rsidRPr="006E698E">
        <w:rPr>
          <w:lang w:val="uk-UA"/>
        </w:rPr>
        <w:t xml:space="preserve"> (далі – Програма 2)</w:t>
      </w:r>
      <w:r w:rsidR="00095F0D" w:rsidRPr="006E698E">
        <w:rPr>
          <w:lang w:val="uk-UA"/>
        </w:rPr>
        <w:t>.</w:t>
      </w:r>
    </w:p>
    <w:p w:rsidR="00095F0D" w:rsidRPr="006E698E" w:rsidRDefault="00095F0D" w:rsidP="00095F0D">
      <w:pPr>
        <w:pStyle w:val="rvps2"/>
        <w:spacing w:before="0" w:beforeAutospacing="0" w:after="0" w:afterAutospacing="0"/>
        <w:jc w:val="both"/>
        <w:rPr>
          <w:lang w:val="uk-UA" w:eastAsia="uk-UA"/>
        </w:rPr>
      </w:pPr>
    </w:p>
    <w:p w:rsidR="00095F0D" w:rsidRPr="006E698E" w:rsidRDefault="00095F0D" w:rsidP="00095F0D">
      <w:pPr>
        <w:pStyle w:val="rvps2"/>
        <w:numPr>
          <w:ilvl w:val="0"/>
          <w:numId w:val="2"/>
        </w:numPr>
        <w:tabs>
          <w:tab w:val="num" w:pos="0"/>
        </w:tabs>
        <w:spacing w:before="0" w:beforeAutospacing="0" w:after="0" w:afterAutospacing="0"/>
        <w:ind w:left="567" w:hanging="567"/>
        <w:jc w:val="both"/>
        <w:rPr>
          <w:lang w:val="uk-UA"/>
        </w:rPr>
      </w:pPr>
      <w:r w:rsidRPr="006E698E">
        <w:rPr>
          <w:lang w:val="uk-UA"/>
        </w:rPr>
        <w:t xml:space="preserve">Рішення Білоцерківської міської ради від 15.05.2020 № 5239-96-VII «Про затвердження Програми розвитку електротранспорту міста Білої Церкви на 2021 </w:t>
      </w:r>
      <w:r w:rsidRPr="006E698E">
        <w:rPr>
          <w:lang w:val="uk-UA" w:eastAsia="uk-UA"/>
        </w:rPr>
        <w:t xml:space="preserve">– </w:t>
      </w:r>
      <w:r w:rsidRPr="006E698E">
        <w:rPr>
          <w:lang w:val="uk-UA"/>
        </w:rPr>
        <w:t xml:space="preserve">2025 роки»                         </w:t>
      </w:r>
      <w:r w:rsidRPr="006E698E">
        <w:rPr>
          <w:lang w:val="uk-UA" w:eastAsia="uk-UA"/>
        </w:rPr>
        <w:t xml:space="preserve">(далі – Програма </w:t>
      </w:r>
      <w:r w:rsidR="00C50D01" w:rsidRPr="006E698E">
        <w:rPr>
          <w:lang w:val="uk-UA" w:eastAsia="uk-UA"/>
        </w:rPr>
        <w:t>3</w:t>
      </w:r>
      <w:r w:rsidRPr="006E698E">
        <w:rPr>
          <w:lang w:val="uk-UA" w:eastAsia="uk-UA"/>
        </w:rPr>
        <w:t>)</w:t>
      </w:r>
      <w:r w:rsidRPr="006E698E">
        <w:rPr>
          <w:lang w:val="uk-UA"/>
        </w:rPr>
        <w:t>.</w:t>
      </w:r>
    </w:p>
    <w:p w:rsidR="00095F0D" w:rsidRPr="006E698E" w:rsidRDefault="00095F0D" w:rsidP="00095F0D">
      <w:pPr>
        <w:pStyle w:val="rvps2"/>
        <w:spacing w:before="0" w:beforeAutospacing="0" w:after="0" w:afterAutospacing="0"/>
        <w:jc w:val="both"/>
        <w:rPr>
          <w:b/>
          <w:lang w:val="uk-UA" w:eastAsia="uk-UA"/>
        </w:rPr>
      </w:pPr>
    </w:p>
    <w:p w:rsidR="00095F0D" w:rsidRPr="006E698E" w:rsidRDefault="00095F0D" w:rsidP="00095F0D">
      <w:pPr>
        <w:pStyle w:val="rvps2"/>
        <w:numPr>
          <w:ilvl w:val="1"/>
          <w:numId w:val="35"/>
        </w:numPr>
        <w:spacing w:before="0" w:beforeAutospacing="0" w:after="0" w:afterAutospacing="0"/>
        <w:ind w:left="567" w:hanging="567"/>
        <w:jc w:val="both"/>
        <w:rPr>
          <w:b/>
          <w:lang w:val="uk-UA" w:eastAsia="uk-UA"/>
        </w:rPr>
      </w:pPr>
      <w:r w:rsidRPr="006E698E">
        <w:rPr>
          <w:b/>
          <w:lang w:val="uk-UA" w:eastAsia="uk-UA"/>
        </w:rPr>
        <w:t>Форма підтримки</w:t>
      </w:r>
    </w:p>
    <w:p w:rsidR="00095F0D" w:rsidRPr="006E698E" w:rsidRDefault="00095F0D" w:rsidP="00095F0D">
      <w:pPr>
        <w:pStyle w:val="rvps2"/>
        <w:spacing w:before="0" w:beforeAutospacing="0" w:after="0" w:afterAutospacing="0"/>
        <w:ind w:left="567" w:hanging="567"/>
        <w:jc w:val="both"/>
        <w:rPr>
          <w:lang w:val="uk-UA" w:eastAsia="uk-UA"/>
        </w:rPr>
      </w:pPr>
    </w:p>
    <w:p w:rsidR="00095F0D" w:rsidRPr="006E698E" w:rsidRDefault="00095F0D" w:rsidP="00095F0D">
      <w:pPr>
        <w:pStyle w:val="a3"/>
        <w:numPr>
          <w:ilvl w:val="0"/>
          <w:numId w:val="2"/>
        </w:numPr>
        <w:shd w:val="clear" w:color="auto" w:fill="FFFFFF" w:themeFill="background1"/>
        <w:autoSpaceDE w:val="0"/>
        <w:autoSpaceDN w:val="0"/>
        <w:adjustRightInd w:val="0"/>
        <w:ind w:left="567" w:hanging="567"/>
        <w:jc w:val="both"/>
      </w:pPr>
      <w:r w:rsidRPr="006E698E">
        <w:rPr>
          <w:rFonts w:eastAsiaTheme="minorHAnsi"/>
        </w:rPr>
        <w:t xml:space="preserve">Відповідно до Програми 1 </w:t>
      </w:r>
      <w:r w:rsidRPr="006E698E">
        <w:t xml:space="preserve">– субсидії та поточні трансферти (компенсація витрат за перевезення пільгових </w:t>
      </w:r>
      <w:proofErr w:type="spellStart"/>
      <w:r w:rsidRPr="006E698E">
        <w:t>категорій</w:t>
      </w:r>
      <w:proofErr w:type="spellEnd"/>
      <w:r w:rsidRPr="006E698E">
        <w:t xml:space="preserve"> населення спрямован</w:t>
      </w:r>
      <w:r w:rsidR="0030228C">
        <w:t>а</w:t>
      </w:r>
      <w:r w:rsidRPr="006E698E">
        <w:t xml:space="preserve"> на виплату заробітної плати, податків та часткової сплати рахунків </w:t>
      </w:r>
      <w:r w:rsidR="0030228C">
        <w:t>з</w:t>
      </w:r>
      <w:r w:rsidR="0030228C" w:rsidRPr="006E698E">
        <w:t xml:space="preserve"> </w:t>
      </w:r>
      <w:r w:rsidRPr="006E698E">
        <w:t>електроенергії), головним розпорядником бюджетних коштів є Надавач 2.</w:t>
      </w:r>
    </w:p>
    <w:p w:rsidR="00095F0D" w:rsidRPr="006E698E" w:rsidRDefault="00095F0D" w:rsidP="00095F0D">
      <w:pPr>
        <w:pStyle w:val="a3"/>
        <w:shd w:val="clear" w:color="auto" w:fill="FFFFFF" w:themeFill="background1"/>
        <w:autoSpaceDE w:val="0"/>
        <w:autoSpaceDN w:val="0"/>
        <w:adjustRightInd w:val="0"/>
        <w:ind w:left="567"/>
        <w:jc w:val="both"/>
      </w:pPr>
    </w:p>
    <w:p w:rsidR="00095F0D" w:rsidRPr="006E698E" w:rsidRDefault="00095F0D" w:rsidP="00095F0D">
      <w:pPr>
        <w:pStyle w:val="a3"/>
        <w:numPr>
          <w:ilvl w:val="0"/>
          <w:numId w:val="2"/>
        </w:numPr>
        <w:shd w:val="clear" w:color="auto" w:fill="FFFFFF" w:themeFill="background1"/>
        <w:autoSpaceDE w:val="0"/>
        <w:autoSpaceDN w:val="0"/>
        <w:adjustRightInd w:val="0"/>
        <w:ind w:left="567" w:hanging="567"/>
        <w:jc w:val="both"/>
      </w:pPr>
      <w:r w:rsidRPr="006E698E">
        <w:rPr>
          <w:rFonts w:eastAsiaTheme="minorHAnsi"/>
        </w:rPr>
        <w:t xml:space="preserve">Відповідно </w:t>
      </w:r>
      <w:r w:rsidR="00C50D01" w:rsidRPr="006E698E">
        <w:rPr>
          <w:rFonts w:eastAsiaTheme="minorHAnsi"/>
        </w:rPr>
        <w:t xml:space="preserve">до Програми 2 </w:t>
      </w:r>
      <w:r w:rsidRPr="006E698E">
        <w:t xml:space="preserve">– субсидії та поточні трансферти (відшкодування витрат, пов’язаних </w:t>
      </w:r>
      <w:r w:rsidR="0030228C">
        <w:t>і</w:t>
      </w:r>
      <w:r w:rsidRPr="006E698E">
        <w:t xml:space="preserve">з перевезенням пасажирів, у разі якщо фактична собівартість послуги перевищує затверджений тариф на проїзд </w:t>
      </w:r>
      <w:r w:rsidR="0030228C">
        <w:t>за</w:t>
      </w:r>
      <w:r w:rsidR="0030228C" w:rsidRPr="006E698E">
        <w:t xml:space="preserve"> </w:t>
      </w:r>
      <w:r w:rsidRPr="006E698E">
        <w:t>функці</w:t>
      </w:r>
      <w:r w:rsidR="0030228C">
        <w:t>єю</w:t>
      </w:r>
      <w:r w:rsidRPr="006E698E">
        <w:t xml:space="preserve"> регулювання цін на послуги міського електротранспорту), головним розпорядником бюджетних коштів є Надавач 1.  Зокрема, кошти, які будуть виділені </w:t>
      </w:r>
      <w:r w:rsidR="0030228C">
        <w:t>за</w:t>
      </w:r>
      <w:r w:rsidR="0030228C" w:rsidRPr="006E698E">
        <w:t xml:space="preserve"> </w:t>
      </w:r>
      <w:r w:rsidRPr="006E698E">
        <w:t>функці</w:t>
      </w:r>
      <w:r w:rsidR="0030228C">
        <w:t>єю</w:t>
      </w:r>
      <w:r w:rsidRPr="006E698E">
        <w:t xml:space="preserve"> регулювання цін на послуги міського електротранспорту та </w:t>
      </w:r>
      <w:r w:rsidR="0030228C">
        <w:t>в</w:t>
      </w:r>
      <w:r w:rsidR="0030228C" w:rsidRPr="006E698E">
        <w:t xml:space="preserve"> </w:t>
      </w:r>
      <w:r w:rsidRPr="006E698E">
        <w:t xml:space="preserve">разі встановлення рівня тарифу на проїзд, який не покриває витрат, пов’язаних </w:t>
      </w:r>
      <w:r w:rsidR="0030228C">
        <w:t>і</w:t>
      </w:r>
      <w:r w:rsidRPr="006E698E">
        <w:t xml:space="preserve">з перевезенням пасажирів, втрати перевізника компенсуються уповноваженим органом, яким затверджені тарифи, за рахунок коштів відповідних бюджетів </w:t>
      </w:r>
      <w:r w:rsidR="0030228C">
        <w:t>–</w:t>
      </w:r>
      <w:r w:rsidRPr="006E698E">
        <w:t xml:space="preserve"> будуть використані на оплату рахунків </w:t>
      </w:r>
      <w:r w:rsidR="0030228C">
        <w:t>за</w:t>
      </w:r>
      <w:r w:rsidR="0030228C" w:rsidRPr="006E698E">
        <w:t xml:space="preserve"> </w:t>
      </w:r>
      <w:r w:rsidRPr="006E698E">
        <w:t>матеріал</w:t>
      </w:r>
      <w:r w:rsidR="0030228C">
        <w:t>и</w:t>
      </w:r>
      <w:r w:rsidRPr="006E698E">
        <w:t>, запасн</w:t>
      </w:r>
      <w:r w:rsidR="0030228C">
        <w:t>і</w:t>
      </w:r>
      <w:r w:rsidRPr="006E698E">
        <w:t xml:space="preserve"> частин</w:t>
      </w:r>
      <w:r w:rsidR="0030228C">
        <w:t>и</w:t>
      </w:r>
      <w:r w:rsidRPr="006E698E">
        <w:t xml:space="preserve">, автогуми, пально-мастильні матеріали, </w:t>
      </w:r>
      <w:r w:rsidR="0030228C">
        <w:t xml:space="preserve">на </w:t>
      </w:r>
      <w:r w:rsidRPr="006E698E">
        <w:t>частков</w:t>
      </w:r>
      <w:r w:rsidR="0030228C">
        <w:t>у</w:t>
      </w:r>
      <w:r w:rsidRPr="006E698E">
        <w:t xml:space="preserve"> сплат</w:t>
      </w:r>
      <w:r w:rsidR="0030228C">
        <w:t>у</w:t>
      </w:r>
      <w:r w:rsidRPr="006E698E">
        <w:t xml:space="preserve"> рахунків </w:t>
      </w:r>
      <w:r w:rsidR="0030228C">
        <w:t>з</w:t>
      </w:r>
      <w:r w:rsidR="0030228C" w:rsidRPr="006E698E">
        <w:t xml:space="preserve"> </w:t>
      </w:r>
      <w:r w:rsidRPr="006E698E">
        <w:t>електроенергії.</w:t>
      </w:r>
    </w:p>
    <w:p w:rsidR="00095F0D" w:rsidRPr="006E698E" w:rsidRDefault="00095F0D" w:rsidP="00095F0D">
      <w:pPr>
        <w:pStyle w:val="a3"/>
        <w:shd w:val="clear" w:color="auto" w:fill="FFFFFF" w:themeFill="background1"/>
        <w:autoSpaceDE w:val="0"/>
        <w:autoSpaceDN w:val="0"/>
        <w:adjustRightInd w:val="0"/>
        <w:ind w:left="567"/>
        <w:rPr>
          <w:rFonts w:eastAsiaTheme="minorHAnsi"/>
        </w:rPr>
      </w:pPr>
    </w:p>
    <w:p w:rsidR="00B17D70" w:rsidRPr="006E698E" w:rsidRDefault="00095F0D" w:rsidP="0010609F">
      <w:pPr>
        <w:pStyle w:val="a3"/>
        <w:numPr>
          <w:ilvl w:val="0"/>
          <w:numId w:val="2"/>
        </w:numPr>
        <w:shd w:val="clear" w:color="auto" w:fill="FFFFFF" w:themeFill="background1"/>
        <w:autoSpaceDE w:val="0"/>
        <w:autoSpaceDN w:val="0"/>
        <w:adjustRightInd w:val="0"/>
        <w:ind w:left="567" w:hanging="567"/>
        <w:jc w:val="both"/>
      </w:pPr>
      <w:r w:rsidRPr="006E698E">
        <w:rPr>
          <w:rFonts w:eastAsiaTheme="minorHAnsi"/>
        </w:rPr>
        <w:t xml:space="preserve">Відповідно до Програми </w:t>
      </w:r>
      <w:r w:rsidR="00C50D01" w:rsidRPr="006E698E">
        <w:rPr>
          <w:rFonts w:eastAsiaTheme="minorHAnsi"/>
        </w:rPr>
        <w:t>3</w:t>
      </w:r>
      <w:r w:rsidRPr="006E698E">
        <w:rPr>
          <w:rFonts w:eastAsiaTheme="minorHAnsi"/>
        </w:rPr>
        <w:t xml:space="preserve"> </w:t>
      </w:r>
      <w:r w:rsidRPr="006E698E">
        <w:t xml:space="preserve">– капітальні трансферти (поповнення статутного капіталу Підприємства), головним розпорядником бюджетних коштів є Надавач 1. Кошти </w:t>
      </w:r>
      <w:r w:rsidRPr="006E698E">
        <w:lastRenderedPageBreak/>
        <w:t>будуть використані на оновлення рухомого складу та матеріально-технічної бази Підприємства.</w:t>
      </w:r>
    </w:p>
    <w:p w:rsidR="00B17D70" w:rsidRPr="006E698E" w:rsidRDefault="00B17D70" w:rsidP="00095F0D">
      <w:pPr>
        <w:pStyle w:val="a3"/>
        <w:ind w:left="567"/>
      </w:pPr>
    </w:p>
    <w:p w:rsidR="00095F0D" w:rsidRPr="006E698E" w:rsidRDefault="00095F0D" w:rsidP="00095F0D">
      <w:pPr>
        <w:pStyle w:val="rvps2"/>
        <w:numPr>
          <w:ilvl w:val="1"/>
          <w:numId w:val="35"/>
        </w:numPr>
        <w:spacing w:before="0" w:beforeAutospacing="0" w:after="0" w:afterAutospacing="0"/>
        <w:ind w:left="567" w:hanging="567"/>
        <w:jc w:val="both"/>
        <w:rPr>
          <w:b/>
          <w:lang w:val="uk-UA" w:eastAsia="uk-UA"/>
        </w:rPr>
      </w:pPr>
      <w:r w:rsidRPr="006E698E">
        <w:rPr>
          <w:b/>
          <w:lang w:val="uk-UA" w:eastAsia="uk-UA"/>
        </w:rPr>
        <w:t>Обсяг підтримки</w:t>
      </w:r>
    </w:p>
    <w:p w:rsidR="00095F0D" w:rsidRPr="006E698E" w:rsidRDefault="00095F0D" w:rsidP="00095F0D">
      <w:pPr>
        <w:pStyle w:val="rvps2"/>
        <w:spacing w:before="0" w:beforeAutospacing="0" w:after="0" w:afterAutospacing="0"/>
        <w:ind w:left="567"/>
        <w:jc w:val="both"/>
        <w:rPr>
          <w:b/>
          <w:lang w:val="uk-UA" w:eastAsia="uk-UA"/>
        </w:rPr>
      </w:pPr>
    </w:p>
    <w:p w:rsidR="00095F0D" w:rsidRPr="006E698E" w:rsidRDefault="00095F0D" w:rsidP="00095F0D">
      <w:pPr>
        <w:pStyle w:val="rvps2"/>
        <w:numPr>
          <w:ilvl w:val="0"/>
          <w:numId w:val="2"/>
        </w:numPr>
        <w:spacing w:before="0" w:beforeAutospacing="0" w:after="0" w:afterAutospacing="0"/>
        <w:ind w:left="567" w:hanging="567"/>
        <w:jc w:val="both"/>
        <w:rPr>
          <w:lang w:val="uk-UA" w:eastAsia="uk-UA"/>
        </w:rPr>
      </w:pPr>
      <w:r w:rsidRPr="006E698E">
        <w:rPr>
          <w:lang w:val="uk-UA" w:eastAsia="uk-UA"/>
        </w:rPr>
        <w:t>Загальний обсяг державної підтримки</w:t>
      </w:r>
      <w:r w:rsidR="00D24467">
        <w:rPr>
          <w:lang w:val="uk-UA" w:eastAsia="uk-UA"/>
        </w:rPr>
        <w:t>,</w:t>
      </w:r>
      <w:r w:rsidRPr="006E698E">
        <w:rPr>
          <w:lang w:val="uk-UA" w:eastAsia="uk-UA"/>
        </w:rPr>
        <w:t xml:space="preserve"> відповідно до Програми 1, </w:t>
      </w:r>
      <w:r w:rsidR="00C50D01" w:rsidRPr="006E698E">
        <w:rPr>
          <w:rFonts w:eastAsiaTheme="minorHAnsi"/>
          <w:lang w:val="uk-UA"/>
        </w:rPr>
        <w:t>Програми 2</w:t>
      </w:r>
      <w:r w:rsidRPr="006E698E">
        <w:rPr>
          <w:lang w:val="uk-UA" w:eastAsia="uk-UA"/>
        </w:rPr>
        <w:t xml:space="preserve"> та     Програми </w:t>
      </w:r>
      <w:r w:rsidR="00C50D01" w:rsidRPr="006E698E">
        <w:rPr>
          <w:lang w:val="uk-UA" w:eastAsia="uk-UA"/>
        </w:rPr>
        <w:t>3</w:t>
      </w:r>
      <w:r w:rsidR="00D24467">
        <w:rPr>
          <w:lang w:val="uk-UA" w:eastAsia="uk-UA"/>
        </w:rPr>
        <w:t xml:space="preserve">, становить </w:t>
      </w:r>
      <w:r w:rsidRPr="006E698E">
        <w:rPr>
          <w:lang w:val="uk-UA" w:eastAsia="uk-UA"/>
        </w:rPr>
        <w:t xml:space="preserve">323 275 500 грн, з них: </w:t>
      </w:r>
    </w:p>
    <w:p w:rsidR="00095F0D" w:rsidRPr="006E698E" w:rsidRDefault="00095F0D" w:rsidP="00095F0D">
      <w:pPr>
        <w:pStyle w:val="rvps2"/>
        <w:spacing w:before="0" w:beforeAutospacing="0" w:after="0" w:afterAutospacing="0"/>
        <w:ind w:left="567"/>
        <w:jc w:val="both"/>
        <w:rPr>
          <w:lang w:val="uk-UA" w:eastAsia="uk-UA"/>
        </w:rPr>
      </w:pPr>
    </w:p>
    <w:p w:rsidR="00095F0D" w:rsidRPr="006E698E" w:rsidRDefault="00095F0D" w:rsidP="00095F0D">
      <w:pPr>
        <w:pStyle w:val="rvps2"/>
        <w:numPr>
          <w:ilvl w:val="0"/>
          <w:numId w:val="36"/>
        </w:numPr>
        <w:shd w:val="clear" w:color="auto" w:fill="FFFFFF" w:themeFill="background1"/>
        <w:spacing w:before="0" w:beforeAutospacing="0" w:after="0" w:afterAutospacing="0"/>
        <w:ind w:left="567" w:hanging="567"/>
        <w:jc w:val="both"/>
        <w:rPr>
          <w:lang w:val="uk-UA" w:eastAsia="uk-UA"/>
        </w:rPr>
      </w:pPr>
      <w:r w:rsidRPr="006E698E">
        <w:rPr>
          <w:rFonts w:eastAsiaTheme="minorHAnsi"/>
          <w:lang w:val="uk-UA" w:eastAsia="en-US"/>
        </w:rPr>
        <w:t xml:space="preserve">відповідно до </w:t>
      </w:r>
      <w:r w:rsidRPr="006E698E">
        <w:rPr>
          <w:rFonts w:eastAsiaTheme="minorHAnsi"/>
          <w:u w:val="single"/>
          <w:lang w:val="uk-UA" w:eastAsia="en-US"/>
        </w:rPr>
        <w:t>Програми 1</w:t>
      </w:r>
      <w:r w:rsidRPr="006E698E">
        <w:rPr>
          <w:rFonts w:eastAsiaTheme="minorHAnsi"/>
          <w:lang w:val="uk-UA" w:eastAsia="en-US"/>
        </w:rPr>
        <w:t xml:space="preserve"> </w:t>
      </w:r>
      <w:r w:rsidRPr="006E698E">
        <w:rPr>
          <w:lang w:val="uk-UA" w:eastAsia="uk-UA"/>
        </w:rPr>
        <w:t xml:space="preserve">загальний обсяг підтримки </w:t>
      </w:r>
      <w:r w:rsidR="00D24467">
        <w:rPr>
          <w:lang w:val="uk-UA" w:eastAsia="uk-UA"/>
        </w:rPr>
        <w:t>становить</w:t>
      </w:r>
      <w:r w:rsidRPr="006E698E">
        <w:rPr>
          <w:lang w:val="uk-UA" w:eastAsia="uk-UA"/>
        </w:rPr>
        <w:t xml:space="preserve"> 88 200 000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2021 рік – 27 000 000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2022 рік – 28 800 000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2023 рік – 32 400 000 грн;</w:t>
      </w:r>
    </w:p>
    <w:p w:rsidR="00095F0D" w:rsidRPr="006E698E" w:rsidRDefault="00095F0D" w:rsidP="00095F0D">
      <w:pPr>
        <w:pStyle w:val="rvps2"/>
        <w:spacing w:before="0" w:beforeAutospacing="0" w:after="0" w:afterAutospacing="0"/>
        <w:ind w:left="567"/>
        <w:jc w:val="both"/>
        <w:rPr>
          <w:lang w:val="uk-UA" w:eastAsia="uk-UA"/>
        </w:rPr>
      </w:pPr>
    </w:p>
    <w:p w:rsidR="00095F0D" w:rsidRPr="006E698E" w:rsidRDefault="00095F0D" w:rsidP="00095F0D">
      <w:pPr>
        <w:pStyle w:val="rvps2"/>
        <w:numPr>
          <w:ilvl w:val="0"/>
          <w:numId w:val="36"/>
        </w:numPr>
        <w:shd w:val="clear" w:color="auto" w:fill="FFFFFF" w:themeFill="background1"/>
        <w:spacing w:before="0" w:beforeAutospacing="0" w:after="0" w:afterAutospacing="0"/>
        <w:ind w:left="567" w:hanging="567"/>
        <w:jc w:val="both"/>
        <w:rPr>
          <w:lang w:val="uk-UA" w:eastAsia="uk-UA"/>
        </w:rPr>
      </w:pPr>
      <w:r w:rsidRPr="006E698E">
        <w:rPr>
          <w:rFonts w:eastAsiaTheme="minorHAnsi"/>
          <w:lang w:val="uk-UA" w:eastAsia="en-US"/>
        </w:rPr>
        <w:t xml:space="preserve">відповідно до </w:t>
      </w:r>
      <w:r w:rsidR="00C50D01" w:rsidRPr="006E698E">
        <w:rPr>
          <w:rFonts w:eastAsiaTheme="minorHAnsi"/>
          <w:u w:val="single"/>
          <w:lang w:val="uk-UA"/>
        </w:rPr>
        <w:t>Програми 2</w:t>
      </w:r>
      <w:r w:rsidR="00C50D01" w:rsidRPr="006E698E">
        <w:rPr>
          <w:rFonts w:eastAsiaTheme="minorHAnsi"/>
          <w:lang w:val="uk-UA"/>
        </w:rPr>
        <w:t xml:space="preserve"> </w:t>
      </w:r>
      <w:r w:rsidRPr="006E698E">
        <w:rPr>
          <w:lang w:val="uk-UA" w:eastAsia="uk-UA"/>
        </w:rPr>
        <w:t xml:space="preserve">загальний обсяг підтримки </w:t>
      </w:r>
      <w:r w:rsidR="00D24467">
        <w:rPr>
          <w:lang w:val="uk-UA" w:eastAsia="uk-UA"/>
        </w:rPr>
        <w:t>становить</w:t>
      </w:r>
      <w:r w:rsidRPr="006E698E">
        <w:rPr>
          <w:lang w:val="uk-UA" w:eastAsia="uk-UA"/>
        </w:rPr>
        <w:t xml:space="preserve"> 10 935 500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2021 рік – 3 497 400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2022 рік – 3 706 500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 xml:space="preserve">2023 рік – 1 100 400 грн; </w:t>
      </w:r>
    </w:p>
    <w:p w:rsidR="00095F0D" w:rsidRPr="006E698E" w:rsidRDefault="00095F0D" w:rsidP="00095F0D">
      <w:pPr>
        <w:pStyle w:val="rvps2"/>
        <w:numPr>
          <w:ilvl w:val="0"/>
          <w:numId w:val="37"/>
        </w:numPr>
        <w:spacing w:before="0" w:beforeAutospacing="0" w:after="0" w:afterAutospacing="0"/>
        <w:jc w:val="both"/>
        <w:rPr>
          <w:lang w:val="uk-UA" w:eastAsia="uk-UA"/>
        </w:rPr>
      </w:pPr>
      <w:r w:rsidRPr="006E698E">
        <w:rPr>
          <w:lang w:val="uk-UA" w:eastAsia="uk-UA"/>
        </w:rPr>
        <w:t xml:space="preserve"> рік – 2 649 200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2025 рік – 0 грн</w:t>
      </w:r>
      <w:r w:rsidR="002829CB">
        <w:rPr>
          <w:lang w:val="uk-UA" w:eastAsia="uk-UA"/>
        </w:rPr>
        <w:t>;</w:t>
      </w:r>
      <w:r w:rsidRPr="006E698E">
        <w:rPr>
          <w:lang w:val="uk-UA" w:eastAsia="uk-UA"/>
        </w:rPr>
        <w:t xml:space="preserve"> </w:t>
      </w:r>
    </w:p>
    <w:p w:rsidR="00095F0D" w:rsidRPr="006E698E" w:rsidRDefault="00095F0D" w:rsidP="00095F0D">
      <w:pPr>
        <w:pStyle w:val="rvps2"/>
        <w:spacing w:before="0" w:beforeAutospacing="0" w:after="0" w:afterAutospacing="0"/>
        <w:ind w:left="567"/>
        <w:jc w:val="both"/>
        <w:rPr>
          <w:lang w:val="uk-UA" w:eastAsia="uk-UA"/>
        </w:rPr>
      </w:pPr>
    </w:p>
    <w:p w:rsidR="00095F0D" w:rsidRPr="006E698E" w:rsidRDefault="00095F0D" w:rsidP="00095F0D">
      <w:pPr>
        <w:pStyle w:val="rvps2"/>
        <w:numPr>
          <w:ilvl w:val="0"/>
          <w:numId w:val="36"/>
        </w:numPr>
        <w:shd w:val="clear" w:color="auto" w:fill="FFFFFF" w:themeFill="background1"/>
        <w:spacing w:before="0" w:beforeAutospacing="0" w:after="0" w:afterAutospacing="0"/>
        <w:ind w:left="567" w:hanging="567"/>
        <w:jc w:val="both"/>
        <w:rPr>
          <w:lang w:val="uk-UA" w:eastAsia="uk-UA"/>
        </w:rPr>
      </w:pPr>
      <w:r w:rsidRPr="006E698E">
        <w:rPr>
          <w:rFonts w:eastAsiaTheme="minorHAnsi"/>
          <w:lang w:val="uk-UA" w:eastAsia="en-US"/>
        </w:rPr>
        <w:t xml:space="preserve">відповідно до </w:t>
      </w:r>
      <w:r w:rsidRPr="006E698E">
        <w:rPr>
          <w:rFonts w:eastAsiaTheme="minorHAnsi"/>
          <w:u w:val="single"/>
          <w:lang w:val="uk-UA" w:eastAsia="en-US"/>
        </w:rPr>
        <w:t xml:space="preserve">Програми </w:t>
      </w:r>
      <w:r w:rsidR="00C50D01" w:rsidRPr="006E698E">
        <w:rPr>
          <w:rFonts w:eastAsiaTheme="minorHAnsi"/>
          <w:u w:val="single"/>
          <w:lang w:val="uk-UA" w:eastAsia="en-US"/>
        </w:rPr>
        <w:t>3</w:t>
      </w:r>
      <w:r w:rsidRPr="006E698E">
        <w:rPr>
          <w:rFonts w:eastAsiaTheme="minorHAnsi"/>
          <w:lang w:val="uk-UA" w:eastAsia="en-US"/>
        </w:rPr>
        <w:t xml:space="preserve"> </w:t>
      </w:r>
      <w:r w:rsidRPr="006E698E">
        <w:rPr>
          <w:lang w:val="uk-UA" w:eastAsia="uk-UA"/>
        </w:rPr>
        <w:t xml:space="preserve">загальний обсяг підтримки </w:t>
      </w:r>
      <w:r w:rsidR="00D24467">
        <w:rPr>
          <w:lang w:val="uk-UA" w:eastAsia="uk-UA"/>
        </w:rPr>
        <w:t>становить</w:t>
      </w:r>
      <w:r w:rsidRPr="006E698E">
        <w:rPr>
          <w:lang w:val="uk-UA" w:eastAsia="uk-UA"/>
        </w:rPr>
        <w:t xml:space="preserve"> 224 140 000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2021 рік – 49 000 000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2022 рік – 40 570 000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 xml:space="preserve">2023 рік – 43 170 000 грн; </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2024 рік – 45 400 000 грн;</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2025 рік – 46 000 000 грн.</w:t>
      </w:r>
    </w:p>
    <w:p w:rsidR="00095F0D" w:rsidRPr="006E698E" w:rsidRDefault="00095F0D" w:rsidP="00095F0D">
      <w:pPr>
        <w:pStyle w:val="rvps2"/>
        <w:spacing w:before="0" w:beforeAutospacing="0" w:after="0" w:afterAutospacing="0"/>
        <w:ind w:left="567"/>
        <w:jc w:val="both"/>
        <w:rPr>
          <w:lang w:val="uk-UA" w:eastAsia="uk-UA"/>
        </w:rPr>
      </w:pPr>
    </w:p>
    <w:p w:rsidR="00095F0D" w:rsidRPr="006E698E" w:rsidRDefault="00095F0D" w:rsidP="00095F0D">
      <w:pPr>
        <w:pStyle w:val="rvps2"/>
        <w:numPr>
          <w:ilvl w:val="1"/>
          <w:numId w:val="35"/>
        </w:numPr>
        <w:spacing w:before="0" w:beforeAutospacing="0" w:after="0" w:afterAutospacing="0"/>
        <w:ind w:left="567" w:hanging="567"/>
        <w:jc w:val="both"/>
        <w:rPr>
          <w:b/>
          <w:lang w:val="uk-UA" w:eastAsia="uk-UA"/>
        </w:rPr>
      </w:pPr>
      <w:r w:rsidRPr="006E698E">
        <w:rPr>
          <w:b/>
          <w:lang w:val="uk-UA" w:eastAsia="uk-UA"/>
        </w:rPr>
        <w:t>Тривалість підтримки</w:t>
      </w:r>
    </w:p>
    <w:p w:rsidR="00095F0D" w:rsidRPr="006E698E" w:rsidRDefault="00095F0D" w:rsidP="00095F0D">
      <w:pPr>
        <w:pStyle w:val="rvps2"/>
        <w:spacing w:before="0" w:beforeAutospacing="0" w:after="0" w:afterAutospacing="0"/>
        <w:jc w:val="both"/>
        <w:rPr>
          <w:b/>
          <w:lang w:val="uk-UA" w:eastAsia="uk-UA"/>
        </w:rPr>
      </w:pPr>
    </w:p>
    <w:p w:rsidR="00095F0D" w:rsidRPr="006E698E" w:rsidRDefault="00095F0D" w:rsidP="00095F0D">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Програми 1:</w:t>
      </w:r>
    </w:p>
    <w:p w:rsidR="00095F0D" w:rsidRPr="006E698E" w:rsidRDefault="00095F0D" w:rsidP="00095F0D">
      <w:pPr>
        <w:pStyle w:val="rvps2"/>
        <w:spacing w:before="0" w:beforeAutospacing="0" w:after="0" w:afterAutospacing="0"/>
        <w:ind w:left="567"/>
        <w:jc w:val="both"/>
        <w:rPr>
          <w:lang w:val="uk-UA" w:eastAsia="uk-UA"/>
        </w:rPr>
      </w:pPr>
      <w:r w:rsidRPr="006E698E">
        <w:rPr>
          <w:lang w:val="uk-UA" w:eastAsia="uk-UA"/>
        </w:rPr>
        <w:t>з 01.01.2021 по 31.12.2023.</w:t>
      </w:r>
    </w:p>
    <w:p w:rsidR="00095F0D" w:rsidRPr="006E698E" w:rsidRDefault="00095F0D" w:rsidP="00095F0D">
      <w:pPr>
        <w:pStyle w:val="rvps2"/>
        <w:spacing w:before="0" w:beforeAutospacing="0" w:after="0" w:afterAutospacing="0"/>
        <w:ind w:left="567"/>
        <w:jc w:val="both"/>
        <w:rPr>
          <w:lang w:val="uk-UA" w:eastAsia="uk-UA"/>
        </w:rPr>
      </w:pPr>
    </w:p>
    <w:p w:rsidR="00095F0D" w:rsidRPr="006E698E" w:rsidRDefault="00095F0D" w:rsidP="00095F0D">
      <w:pPr>
        <w:pStyle w:val="rvps2"/>
        <w:numPr>
          <w:ilvl w:val="0"/>
          <w:numId w:val="2"/>
        </w:numPr>
        <w:spacing w:before="0" w:beforeAutospacing="0" w:after="0" w:afterAutospacing="0"/>
        <w:ind w:left="567" w:hanging="567"/>
        <w:jc w:val="both"/>
        <w:rPr>
          <w:lang w:val="uk-UA" w:eastAsia="uk-UA"/>
        </w:rPr>
      </w:pPr>
      <w:r w:rsidRPr="006E698E">
        <w:rPr>
          <w:lang w:val="uk-UA" w:eastAsia="uk-UA"/>
        </w:rPr>
        <w:t xml:space="preserve">Відповідно до </w:t>
      </w:r>
      <w:r w:rsidR="00C50D01" w:rsidRPr="006E698E">
        <w:rPr>
          <w:rFonts w:eastAsiaTheme="minorHAnsi"/>
          <w:lang w:val="uk-UA"/>
        </w:rPr>
        <w:t>Програми 2</w:t>
      </w:r>
      <w:r w:rsidRPr="006E698E">
        <w:rPr>
          <w:lang w:val="uk-UA" w:eastAsia="uk-UA"/>
        </w:rPr>
        <w:t xml:space="preserve"> та Програми </w:t>
      </w:r>
      <w:r w:rsidR="00C50D01" w:rsidRPr="006E698E">
        <w:rPr>
          <w:lang w:val="uk-UA" w:eastAsia="uk-UA"/>
        </w:rPr>
        <w:t>3</w:t>
      </w:r>
      <w:r w:rsidRPr="006E698E">
        <w:rPr>
          <w:lang w:val="uk-UA" w:eastAsia="uk-UA"/>
        </w:rPr>
        <w:t xml:space="preserve">: </w:t>
      </w:r>
    </w:p>
    <w:p w:rsidR="00CB13FD" w:rsidRPr="006E698E" w:rsidRDefault="00095F0D" w:rsidP="00095F0D">
      <w:pPr>
        <w:pStyle w:val="rvps2"/>
        <w:tabs>
          <w:tab w:val="left" w:pos="567"/>
        </w:tabs>
        <w:spacing w:before="0" w:beforeAutospacing="0" w:after="0" w:afterAutospacing="0"/>
        <w:ind w:left="567"/>
        <w:jc w:val="both"/>
        <w:rPr>
          <w:lang w:val="uk-UA" w:eastAsia="uk-UA"/>
        </w:rPr>
      </w:pPr>
      <w:r w:rsidRPr="006E698E">
        <w:rPr>
          <w:lang w:val="uk-UA" w:eastAsia="uk-UA"/>
        </w:rPr>
        <w:t>з 01.01.2021 по 31.12.2025.</w:t>
      </w:r>
    </w:p>
    <w:p w:rsidR="00852656" w:rsidRPr="006E698E" w:rsidRDefault="00852656" w:rsidP="00852656">
      <w:pPr>
        <w:pStyle w:val="rvps2"/>
        <w:spacing w:before="0" w:beforeAutospacing="0" w:after="0" w:afterAutospacing="0"/>
        <w:jc w:val="both"/>
        <w:rPr>
          <w:lang w:val="uk-UA" w:eastAsia="uk-UA"/>
        </w:rPr>
      </w:pPr>
    </w:p>
    <w:p w:rsidR="00852656" w:rsidRPr="006E698E" w:rsidRDefault="00852656" w:rsidP="00852656">
      <w:pPr>
        <w:pStyle w:val="rvps2"/>
        <w:numPr>
          <w:ilvl w:val="0"/>
          <w:numId w:val="1"/>
        </w:numPr>
        <w:spacing w:before="0" w:beforeAutospacing="0" w:after="0" w:afterAutospacing="0"/>
        <w:ind w:left="567" w:hanging="567"/>
        <w:jc w:val="both"/>
        <w:rPr>
          <w:b/>
          <w:lang w:val="uk-UA" w:eastAsia="uk-UA"/>
        </w:rPr>
      </w:pPr>
      <w:r w:rsidRPr="006E698E">
        <w:rPr>
          <w:b/>
          <w:lang w:val="uk-UA" w:eastAsia="uk-UA"/>
        </w:rPr>
        <w:t>ПОЄДНАННЯ ФОРМ ПІДТРИМКИ</w:t>
      </w:r>
    </w:p>
    <w:p w:rsidR="00852656" w:rsidRPr="006E698E" w:rsidRDefault="00852656" w:rsidP="00852656">
      <w:pPr>
        <w:pStyle w:val="rvps2"/>
        <w:spacing w:before="0" w:beforeAutospacing="0" w:after="0" w:afterAutospacing="0"/>
        <w:jc w:val="both"/>
        <w:rPr>
          <w:b/>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rPr>
      </w:pPr>
      <w:r w:rsidRPr="006E698E">
        <w:rPr>
          <w:lang w:val="uk-UA"/>
        </w:rPr>
        <w:t>Рішенням Антимонопольного комітету України від 01.11.2018 № 604-р визнано, що державна підтримка у формі:</w:t>
      </w:r>
    </w:p>
    <w:p w:rsidR="00295C72" w:rsidRPr="006E698E" w:rsidRDefault="00295C72" w:rsidP="00295C72">
      <w:pPr>
        <w:pStyle w:val="rvps2"/>
        <w:spacing w:before="0" w:beforeAutospacing="0" w:after="0" w:afterAutospacing="0"/>
        <w:ind w:left="567"/>
        <w:jc w:val="both"/>
        <w:rPr>
          <w:lang w:val="uk-UA"/>
        </w:rPr>
      </w:pPr>
    </w:p>
    <w:p w:rsidR="00295C72" w:rsidRPr="006E698E" w:rsidRDefault="00295C72" w:rsidP="00295C72">
      <w:pPr>
        <w:pStyle w:val="rvps2"/>
        <w:numPr>
          <w:ilvl w:val="0"/>
          <w:numId w:val="38"/>
        </w:numPr>
        <w:spacing w:before="0" w:beforeAutospacing="0" w:after="0" w:afterAutospacing="0"/>
        <w:ind w:left="567" w:hanging="567"/>
        <w:jc w:val="both"/>
        <w:rPr>
          <w:lang w:val="uk-UA"/>
        </w:rPr>
      </w:pPr>
      <w:r w:rsidRPr="006E698E">
        <w:rPr>
          <w:lang w:val="uk-UA"/>
        </w:rPr>
        <w:t>субсидії на компенсацію витрат за пільговий проїзд окремих категорій населення, виплату заробітної плати, сплату податків і зборів на заробітну плату, що виділяються на підставі програми надання окремих видів пільг за рахунок коштів міського бюджету на 2017-2020 роки, затвердженої рішенням Білоцерківської міської ради від 22.12.2016 № 420-22-VІІ (зі змінами від 21.12.2017 № 1807-42 –VІІ), комунальному підприємству «Тролейбусне управління» на період з 01.01.2017 по 31.12.2020 у сумі                                    69 040,0 тис. грн;</w:t>
      </w:r>
    </w:p>
    <w:p w:rsidR="00295C72" w:rsidRPr="006E698E" w:rsidRDefault="00295C72" w:rsidP="00295C72">
      <w:pPr>
        <w:pStyle w:val="rvps2"/>
        <w:numPr>
          <w:ilvl w:val="0"/>
          <w:numId w:val="38"/>
        </w:numPr>
        <w:spacing w:before="0" w:beforeAutospacing="0" w:after="0" w:afterAutospacing="0"/>
        <w:ind w:left="567" w:hanging="567"/>
        <w:jc w:val="both"/>
        <w:rPr>
          <w:lang w:val="uk-UA"/>
        </w:rPr>
      </w:pPr>
      <w:r w:rsidRPr="006E698E">
        <w:rPr>
          <w:lang w:val="uk-UA"/>
        </w:rPr>
        <w:t xml:space="preserve">поточних трансфертів на часткову оплату спожитої електроенергії, оплату рахунків за матеріали, запасні частини, пально-мастильні матеріали, послуги сторонніх організацій, що виділяються на підставі Закону України «Про міський електричний транспорт» комунальному підприємству «Тролейбусне управління» на період </w:t>
      </w:r>
      <w:r w:rsidR="002829CB">
        <w:rPr>
          <w:lang w:val="uk-UA"/>
        </w:rPr>
        <w:t xml:space="preserve">з </w:t>
      </w:r>
      <w:r w:rsidRPr="006E698E">
        <w:rPr>
          <w:lang w:val="uk-UA"/>
        </w:rPr>
        <w:t>01.01.2015                          по 31.12.2020 у сумі 22 272 тис. грн;</w:t>
      </w:r>
    </w:p>
    <w:p w:rsidR="00295C72" w:rsidRPr="006E698E" w:rsidRDefault="00295C72" w:rsidP="00295C72">
      <w:pPr>
        <w:pStyle w:val="rvps2"/>
        <w:numPr>
          <w:ilvl w:val="0"/>
          <w:numId w:val="38"/>
        </w:numPr>
        <w:spacing w:before="0" w:beforeAutospacing="0" w:after="0" w:afterAutospacing="0"/>
        <w:ind w:left="567" w:hanging="567"/>
        <w:jc w:val="both"/>
        <w:rPr>
          <w:lang w:val="uk-UA"/>
        </w:rPr>
      </w:pPr>
      <w:r w:rsidRPr="006E698E">
        <w:rPr>
          <w:lang w:val="uk-UA"/>
        </w:rPr>
        <w:lastRenderedPageBreak/>
        <w:t xml:space="preserve">поповнення статутного капіталу комунального підприємства «Тролейбусне управління» на оновлення, ремонт матеріально-технічної бази та розвиток інфраструктури міського електротранспорту, що виділяється на підставі Програми розвитку міського електротранспорту на 2016-2020 роки, затвердженої рішенням Білоцерківської міської ради від 22.12.2016 № 421-22-VІІ, на період з 01.01.2016                       по 31.12.2020 у сумі 14 238,5 тис. грн, </w:t>
      </w:r>
    </w:p>
    <w:p w:rsidR="00852656" w:rsidRPr="006E698E" w:rsidRDefault="00295C72" w:rsidP="00295C72">
      <w:pPr>
        <w:pStyle w:val="rvps2"/>
        <w:spacing w:before="0" w:beforeAutospacing="0" w:after="0" w:afterAutospacing="0"/>
        <w:ind w:left="567"/>
        <w:jc w:val="both"/>
        <w:rPr>
          <w:lang w:val="uk-UA" w:eastAsia="uk-UA"/>
        </w:rPr>
      </w:pPr>
      <w:r w:rsidRPr="006E698E">
        <w:rPr>
          <w:lang w:val="uk-UA"/>
        </w:rPr>
        <w:t xml:space="preserve">не є державною допомогою відповідно </w:t>
      </w:r>
      <w:r w:rsidRPr="006E698E">
        <w:rPr>
          <w:lang w:val="uk-UA" w:eastAsia="uk-UA"/>
        </w:rPr>
        <w:t>до пункту 2 частини другої статті 3 Закону України «Про державну допомогу суб’єктам господарювання».</w:t>
      </w:r>
    </w:p>
    <w:p w:rsidR="00B17D70" w:rsidRPr="006E698E" w:rsidRDefault="00B17D70" w:rsidP="00B17D70">
      <w:pPr>
        <w:pStyle w:val="rvps2"/>
        <w:spacing w:before="0" w:beforeAutospacing="0" w:after="0" w:afterAutospacing="0"/>
        <w:jc w:val="both"/>
        <w:rPr>
          <w:color w:val="000000"/>
          <w:lang w:val="uk-UA"/>
        </w:rPr>
      </w:pPr>
    </w:p>
    <w:p w:rsidR="00852656" w:rsidRPr="006E698E" w:rsidRDefault="00852656" w:rsidP="00852656">
      <w:pPr>
        <w:numPr>
          <w:ilvl w:val="0"/>
          <w:numId w:val="1"/>
        </w:numPr>
        <w:ind w:left="567" w:hanging="567"/>
        <w:jc w:val="both"/>
        <w:rPr>
          <w:b/>
          <w:color w:val="000000" w:themeColor="text1"/>
        </w:rPr>
      </w:pPr>
      <w:r w:rsidRPr="006E698E">
        <w:rPr>
          <w:b/>
          <w:color w:val="000000" w:themeColor="text1"/>
        </w:rPr>
        <w:t>УМОВИ НАДАННЯ ДЕРЖАВНОЇ ПІДТРИМКИ</w:t>
      </w:r>
    </w:p>
    <w:p w:rsidR="00852656" w:rsidRPr="006E698E" w:rsidRDefault="00852656" w:rsidP="00852656">
      <w:pPr>
        <w:ind w:left="567" w:hanging="567"/>
        <w:rPr>
          <w:color w:val="000000" w:themeColor="text1"/>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rPr>
        <w:t xml:space="preserve">Послуги пасажирських перевезень комунальним транспортом </w:t>
      </w:r>
      <w:r w:rsidR="002829CB">
        <w:rPr>
          <w:lang w:val="uk-UA"/>
        </w:rPr>
        <w:t xml:space="preserve">– </w:t>
      </w:r>
      <w:r w:rsidRPr="006E698E">
        <w:rPr>
          <w:lang w:val="uk-UA"/>
        </w:rPr>
        <w:t xml:space="preserve">це послуги, пов’язані із </w:t>
      </w:r>
    </w:p>
    <w:p w:rsidR="00295C72" w:rsidRPr="006E698E" w:rsidRDefault="00295C72" w:rsidP="00295C72">
      <w:pPr>
        <w:pStyle w:val="rvps2"/>
        <w:spacing w:before="0" w:beforeAutospacing="0" w:after="0" w:afterAutospacing="0"/>
        <w:ind w:left="567"/>
        <w:jc w:val="both"/>
        <w:rPr>
          <w:lang w:val="uk-UA" w:eastAsia="uk-UA"/>
        </w:rPr>
      </w:pPr>
      <w:r w:rsidRPr="006E698E">
        <w:rPr>
          <w:lang w:val="uk-UA"/>
        </w:rPr>
        <w:t>задоволенням особливо важливих загальних потреб громадян, що не можуть надаватися на комерційній основі без державної підтримки</w:t>
      </w:r>
      <w:r w:rsidRPr="006E698E">
        <w:rPr>
          <w:lang w:val="uk-UA" w:eastAsia="uk-UA"/>
        </w:rPr>
        <w:t>.</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rPr>
        <w:t>Громадський пасажирський транспорт – найважливіша складова транспортного обслуговування населення. Рухливість основної частини населення, що проживає в міських районах, забезпечує громадський транспорт. Правильна організація пасажирських перевезень є невід’ємною частиною інфраструктури сучасного міста. Життя великих міст без пасажирського транспорту неможливе, тому й виникли великі міста завдяки розвитку громадського транспорту. Основна роль транспорту загального користування – забезпечення стійкого розвитку міста. Зокрема, порівнян</w:t>
      </w:r>
      <w:r w:rsidR="002829CB">
        <w:rPr>
          <w:lang w:val="uk-UA"/>
        </w:rPr>
        <w:t>о</w:t>
      </w:r>
      <w:r w:rsidRPr="006E698E">
        <w:rPr>
          <w:lang w:val="uk-UA"/>
        </w:rPr>
        <w:t xml:space="preserve"> з індивідуальним транспортом, громадський транспорт істотно підвищує безпеку перевезень і забезпечує значне заощадження природних і фінансових ресурсів.</w:t>
      </w:r>
    </w:p>
    <w:p w:rsidR="00295C72" w:rsidRPr="006E698E" w:rsidRDefault="00295C72" w:rsidP="00295C72"/>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rPr>
        <w:t>Отримувач допомоги є єдиним у місті Підприємством, яке перевозить всі без ви</w:t>
      </w:r>
      <w:r w:rsidR="002829CB">
        <w:rPr>
          <w:lang w:val="uk-UA"/>
        </w:rPr>
        <w:t>нятку</w:t>
      </w:r>
      <w:r w:rsidRPr="006E698E">
        <w:rPr>
          <w:lang w:val="uk-UA"/>
        </w:rPr>
        <w:t xml:space="preserve"> пільгові категорії пасажирів, не має достатніх коштів за рахунок виручки від продажу проїзних квитків, а тому є планово-збитковим і для забезпечення безперебійного перевезення пасажирів потребує фінансової допомоги. На балансі </w:t>
      </w:r>
      <w:r w:rsidR="002829CB">
        <w:rPr>
          <w:lang w:val="uk-UA"/>
        </w:rPr>
        <w:t>знаходиться</w:t>
      </w:r>
      <w:r w:rsidR="002829CB" w:rsidRPr="006E698E">
        <w:rPr>
          <w:lang w:val="uk-UA"/>
        </w:rPr>
        <w:t xml:space="preserve"> </w:t>
      </w:r>
      <w:r w:rsidRPr="006E698E">
        <w:rPr>
          <w:lang w:val="uk-UA"/>
        </w:rPr>
        <w:t xml:space="preserve">26 тролейбусів (25 </w:t>
      </w:r>
      <w:r w:rsidR="002829CB">
        <w:rPr>
          <w:lang w:val="uk-UA"/>
        </w:rPr>
        <w:t>–</w:t>
      </w:r>
      <w:r w:rsidRPr="006E698E">
        <w:rPr>
          <w:lang w:val="uk-UA"/>
        </w:rPr>
        <w:t xml:space="preserve"> для перевезення пасажирів</w:t>
      </w:r>
      <w:r w:rsidR="002829CB">
        <w:rPr>
          <w:lang w:val="uk-UA"/>
        </w:rPr>
        <w:t>,</w:t>
      </w:r>
      <w:r w:rsidRPr="006E698E">
        <w:rPr>
          <w:lang w:val="uk-UA"/>
        </w:rPr>
        <w:t xml:space="preserve"> </w:t>
      </w:r>
      <w:r w:rsidR="002829CB">
        <w:rPr>
          <w:lang w:val="uk-UA"/>
        </w:rPr>
        <w:t>один –</w:t>
      </w:r>
      <w:r w:rsidRPr="006E698E">
        <w:rPr>
          <w:lang w:val="uk-UA"/>
        </w:rPr>
        <w:t xml:space="preserve"> для вантажно-маневрових робіт), 5</w:t>
      </w:r>
      <w:r w:rsidR="002829CB">
        <w:rPr>
          <w:lang w:val="uk-UA"/>
        </w:rPr>
        <w:t> </w:t>
      </w:r>
      <w:r w:rsidRPr="006E698E">
        <w:rPr>
          <w:lang w:val="uk-UA"/>
        </w:rPr>
        <w:t xml:space="preserve">тягових підстанцій, 44 км контактної мережі, 20,5 км кабельних ліній. Тролейбуси обслуговують 7 маршрутів, щоденно в дві зміни випускають на лінію: </w:t>
      </w:r>
      <w:r w:rsidR="002829CB">
        <w:rPr>
          <w:lang w:val="uk-UA"/>
        </w:rPr>
        <w:t>у</w:t>
      </w:r>
      <w:r w:rsidR="002829CB" w:rsidRPr="006E698E">
        <w:rPr>
          <w:lang w:val="uk-UA"/>
        </w:rPr>
        <w:t xml:space="preserve"> </w:t>
      </w:r>
      <w:r w:rsidRPr="006E698E">
        <w:rPr>
          <w:lang w:val="uk-UA"/>
        </w:rPr>
        <w:t>робочі дні – 17 тролейбусів, у вихідні – 11 тролейбусів.</w:t>
      </w:r>
      <w:r w:rsidRPr="006E698E">
        <w:rPr>
          <w:lang w:val="uk-UA" w:eastAsia="uk-UA"/>
        </w:rPr>
        <w:t xml:space="preserve"> </w:t>
      </w:r>
      <w:r w:rsidRPr="006E698E">
        <w:rPr>
          <w:lang w:val="uk-UA"/>
        </w:rPr>
        <w:t xml:space="preserve">На </w:t>
      </w:r>
      <w:r w:rsidR="002829CB">
        <w:rPr>
          <w:lang w:val="uk-UA"/>
        </w:rPr>
        <w:t>цей</w:t>
      </w:r>
      <w:r w:rsidR="002829CB" w:rsidRPr="006E698E">
        <w:rPr>
          <w:lang w:val="uk-UA"/>
        </w:rPr>
        <w:t xml:space="preserve"> </w:t>
      </w:r>
      <w:r w:rsidRPr="006E698E">
        <w:rPr>
          <w:lang w:val="uk-UA"/>
        </w:rPr>
        <w:t xml:space="preserve">час склалася критична ситуація зі станом рухомого складу Підприємства. Якщо згідно </w:t>
      </w:r>
      <w:r w:rsidR="002829CB">
        <w:rPr>
          <w:lang w:val="uk-UA"/>
        </w:rPr>
        <w:t xml:space="preserve">з </w:t>
      </w:r>
      <w:r w:rsidRPr="006E698E">
        <w:rPr>
          <w:lang w:val="uk-UA"/>
        </w:rPr>
        <w:t>норматив</w:t>
      </w:r>
      <w:r w:rsidR="002829CB">
        <w:rPr>
          <w:lang w:val="uk-UA"/>
        </w:rPr>
        <w:t>ами</w:t>
      </w:r>
      <w:r w:rsidRPr="006E698E">
        <w:rPr>
          <w:lang w:val="uk-UA"/>
        </w:rPr>
        <w:t xml:space="preserve"> </w:t>
      </w:r>
      <w:r w:rsidR="002829CB">
        <w:rPr>
          <w:lang w:val="uk-UA"/>
        </w:rPr>
        <w:t>строк</w:t>
      </w:r>
      <w:r w:rsidR="002829CB" w:rsidRPr="006E698E">
        <w:rPr>
          <w:lang w:val="uk-UA"/>
        </w:rPr>
        <w:t xml:space="preserve"> </w:t>
      </w:r>
      <w:r w:rsidRPr="006E698E">
        <w:rPr>
          <w:lang w:val="uk-UA"/>
        </w:rPr>
        <w:t xml:space="preserve">експлуатації тролейбусів визначено в 10 років, то на </w:t>
      </w:r>
      <w:r w:rsidR="00932F31">
        <w:rPr>
          <w:lang w:val="uk-UA"/>
        </w:rPr>
        <w:t>П</w:t>
      </w:r>
      <w:r w:rsidRPr="006E698E">
        <w:rPr>
          <w:lang w:val="uk-UA"/>
        </w:rPr>
        <w:t xml:space="preserve">ідприємстві з 26 одиниць лише </w:t>
      </w:r>
      <w:r w:rsidR="0057688D">
        <w:rPr>
          <w:lang w:val="uk-UA"/>
        </w:rPr>
        <w:t>7</w:t>
      </w:r>
      <w:r w:rsidR="0057688D" w:rsidRPr="006E698E">
        <w:rPr>
          <w:lang w:val="uk-UA"/>
        </w:rPr>
        <w:t xml:space="preserve"> </w:t>
      </w:r>
      <w:r w:rsidRPr="006E698E">
        <w:rPr>
          <w:lang w:val="uk-UA"/>
        </w:rPr>
        <w:t xml:space="preserve">тролейбусів мають строк експлуатації до 10 років та потребують оновлення рухомого складу </w:t>
      </w:r>
      <w:r w:rsidR="0057688D">
        <w:rPr>
          <w:lang w:val="uk-UA"/>
        </w:rPr>
        <w:t>й</w:t>
      </w:r>
      <w:r w:rsidR="0057688D" w:rsidRPr="006E698E">
        <w:rPr>
          <w:lang w:val="uk-UA"/>
        </w:rPr>
        <w:t xml:space="preserve"> </w:t>
      </w:r>
      <w:r w:rsidRPr="006E698E">
        <w:rPr>
          <w:lang w:val="uk-UA"/>
        </w:rPr>
        <w:t xml:space="preserve">капітальних ремонтів </w:t>
      </w:r>
      <w:r w:rsidR="0057688D">
        <w:rPr>
          <w:lang w:val="uk-UA"/>
        </w:rPr>
        <w:t>наявного</w:t>
      </w:r>
      <w:r w:rsidR="0057688D" w:rsidRPr="006E698E">
        <w:rPr>
          <w:lang w:val="uk-UA"/>
        </w:rPr>
        <w:t xml:space="preserve"> </w:t>
      </w:r>
      <w:r w:rsidRPr="006E698E">
        <w:rPr>
          <w:lang w:val="uk-UA"/>
        </w:rPr>
        <w:t xml:space="preserve">парку. </w:t>
      </w:r>
    </w:p>
    <w:p w:rsidR="00295C72" w:rsidRPr="006E698E" w:rsidRDefault="00295C72" w:rsidP="00295C72">
      <w:pPr>
        <w:pStyle w:val="rvps2"/>
        <w:spacing w:before="0" w:beforeAutospacing="0" w:after="0" w:afterAutospacing="0"/>
        <w:jc w:val="both"/>
        <w:rPr>
          <w:lang w:val="uk-UA" w:eastAsia="uk-UA"/>
        </w:rPr>
      </w:pPr>
    </w:p>
    <w:p w:rsidR="00295C72" w:rsidRPr="006E698E" w:rsidRDefault="00295C72" w:rsidP="009D73B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Статуту</w:t>
      </w:r>
      <w:r w:rsidR="004C017D" w:rsidRPr="006E698E">
        <w:rPr>
          <w:lang w:val="uk-UA"/>
        </w:rPr>
        <w:t xml:space="preserve"> </w:t>
      </w:r>
      <w:r w:rsidR="004C017D" w:rsidRPr="006E698E">
        <w:rPr>
          <w:lang w:val="uk-UA" w:eastAsia="uk-UA"/>
        </w:rPr>
        <w:t>КП БЦМР «Тролейбусне управління»</w:t>
      </w:r>
      <w:r w:rsidRPr="006E698E">
        <w:rPr>
          <w:lang w:val="uk-UA" w:eastAsia="uk-UA"/>
        </w:rPr>
        <w:t>, затвердженого рішенням Білоцерківської міської ради від 21.06.2018 № 2440-53-VII (далі – Статут), Підприємство заснован</w:t>
      </w:r>
      <w:r w:rsidR="0057688D">
        <w:rPr>
          <w:lang w:val="uk-UA" w:eastAsia="uk-UA"/>
        </w:rPr>
        <w:t>о</w:t>
      </w:r>
      <w:r w:rsidRPr="006E698E">
        <w:rPr>
          <w:lang w:val="uk-UA" w:eastAsia="uk-UA"/>
        </w:rPr>
        <w:t xml:space="preserve"> на комунальній власності територіальної громади міста Біла Церква </w:t>
      </w:r>
      <w:r w:rsidR="00932F31">
        <w:rPr>
          <w:lang w:val="uk-UA" w:eastAsia="uk-UA"/>
        </w:rPr>
        <w:t>й</w:t>
      </w:r>
      <w:r w:rsidR="00932F31" w:rsidRPr="006E698E">
        <w:rPr>
          <w:lang w:val="uk-UA" w:eastAsia="uk-UA"/>
        </w:rPr>
        <w:t xml:space="preserve"> </w:t>
      </w:r>
      <w:r w:rsidRPr="006E698E">
        <w:rPr>
          <w:lang w:val="uk-UA" w:eastAsia="uk-UA"/>
        </w:rPr>
        <w:t>підпорядкован</w:t>
      </w:r>
      <w:r w:rsidR="0057688D">
        <w:rPr>
          <w:lang w:val="uk-UA" w:eastAsia="uk-UA"/>
        </w:rPr>
        <w:t>о</w:t>
      </w:r>
      <w:r w:rsidRPr="006E698E">
        <w:rPr>
          <w:lang w:val="uk-UA" w:eastAsia="uk-UA"/>
        </w:rPr>
        <w:t xml:space="preserve"> Білоцерківській міській раді. </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 xml:space="preserve">Відповідно до пункту 2.1 розділу 2 Статуту КП БЦМР «Тролейбусне управління» створено з метою здійснення ініціативної, систематичної на власний ризик діяльності </w:t>
      </w:r>
      <w:r w:rsidR="0057688D">
        <w:rPr>
          <w:lang w:val="uk-UA" w:eastAsia="uk-UA"/>
        </w:rPr>
        <w:t>з</w:t>
      </w:r>
      <w:r w:rsidRPr="006E698E">
        <w:rPr>
          <w:lang w:val="uk-UA" w:eastAsia="uk-UA"/>
        </w:rPr>
        <w:t xml:space="preserve"> наданн</w:t>
      </w:r>
      <w:r w:rsidR="0057688D">
        <w:rPr>
          <w:lang w:val="uk-UA" w:eastAsia="uk-UA"/>
        </w:rPr>
        <w:t>я</w:t>
      </w:r>
      <w:r w:rsidRPr="006E698E">
        <w:rPr>
          <w:lang w:val="uk-UA" w:eastAsia="uk-UA"/>
        </w:rPr>
        <w:t xml:space="preserve"> послуг, виробництв</w:t>
      </w:r>
      <w:r w:rsidR="0057688D">
        <w:rPr>
          <w:lang w:val="uk-UA" w:eastAsia="uk-UA"/>
        </w:rPr>
        <w:t>а</w:t>
      </w:r>
      <w:r w:rsidRPr="006E698E">
        <w:rPr>
          <w:lang w:val="uk-UA" w:eastAsia="uk-UA"/>
        </w:rPr>
        <w:t xml:space="preserve"> продукції, виконанн</w:t>
      </w:r>
      <w:r w:rsidR="0057688D">
        <w:rPr>
          <w:lang w:val="uk-UA" w:eastAsia="uk-UA"/>
        </w:rPr>
        <w:t>я</w:t>
      </w:r>
      <w:r w:rsidRPr="006E698E">
        <w:rPr>
          <w:lang w:val="uk-UA" w:eastAsia="uk-UA"/>
        </w:rPr>
        <w:t xml:space="preserve"> робіт та іншої підприємницької діяльності для задоволення суспільних потреб щодо діяльності електротранспорту. </w:t>
      </w:r>
    </w:p>
    <w:p w:rsidR="00295C72" w:rsidRPr="006E698E" w:rsidRDefault="00295C72" w:rsidP="00295C72"/>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пункту 2.2 розділу 2 Статуту основним напрямом діяльності                                            КП БЦМР «Тролейбусне управління», зокрема, є діяльність регулярного електротранспорту.</w:t>
      </w:r>
    </w:p>
    <w:p w:rsidR="00295C72" w:rsidRPr="006E698E" w:rsidRDefault="00295C72" w:rsidP="00295C72"/>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lastRenderedPageBreak/>
        <w:t xml:space="preserve">Відповідно до пункту 3.1 розділу 3 Статуту </w:t>
      </w:r>
      <w:r w:rsidRPr="006E698E">
        <w:rPr>
          <w:lang w:val="uk-UA"/>
        </w:rPr>
        <w:t xml:space="preserve">Підприємство є юридичною особою, має відокремлене майно, самостійний баланс, розрахункові та інші рахунки в установах банків, печатку зі своїм найменуванням та ідентифікаційним кодом, штамп. Прав </w:t>
      </w:r>
      <w:r w:rsidR="0057688D">
        <w:rPr>
          <w:lang w:val="uk-UA"/>
        </w:rPr>
        <w:t>та</w:t>
      </w:r>
      <w:r w:rsidR="0057688D" w:rsidRPr="006E698E">
        <w:rPr>
          <w:lang w:val="uk-UA"/>
        </w:rPr>
        <w:t xml:space="preserve"> </w:t>
      </w:r>
      <w:r w:rsidRPr="006E698E">
        <w:rPr>
          <w:lang w:val="uk-UA"/>
        </w:rPr>
        <w:t>обов</w:t>
      </w:r>
      <w:r w:rsidR="0057688D">
        <w:rPr>
          <w:lang w:val="uk-UA"/>
        </w:rPr>
        <w:t>’</w:t>
      </w:r>
      <w:r w:rsidRPr="006E698E">
        <w:rPr>
          <w:lang w:val="uk-UA"/>
        </w:rPr>
        <w:t>язк</w:t>
      </w:r>
      <w:r w:rsidR="0057688D">
        <w:rPr>
          <w:lang w:val="uk-UA"/>
        </w:rPr>
        <w:t>ів</w:t>
      </w:r>
      <w:r w:rsidRPr="006E698E">
        <w:rPr>
          <w:lang w:val="uk-UA"/>
        </w:rPr>
        <w:t xml:space="preserve"> юридичної особи Підприємство набуває з дня його державної реєстрації.</w:t>
      </w:r>
    </w:p>
    <w:p w:rsidR="00295C72" w:rsidRPr="006E698E" w:rsidRDefault="00295C72" w:rsidP="00295C72"/>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пункту 4.2 розділу 4 Статуту</w:t>
      </w:r>
      <w:r w:rsidRPr="006E698E">
        <w:rPr>
          <w:lang w:val="uk-UA"/>
        </w:rPr>
        <w:t xml:space="preserve"> майно </w:t>
      </w:r>
      <w:r w:rsidRPr="006E698E">
        <w:rPr>
          <w:lang w:val="uk-UA" w:eastAsia="uk-UA"/>
        </w:rPr>
        <w:t>КП БЦМР «Тролейбусне управління»</w:t>
      </w:r>
      <w:r w:rsidRPr="006E698E">
        <w:rPr>
          <w:lang w:val="uk-UA"/>
        </w:rPr>
        <w:t xml:space="preserve"> перебуває </w:t>
      </w:r>
      <w:r w:rsidR="0057688D">
        <w:rPr>
          <w:lang w:val="uk-UA"/>
        </w:rPr>
        <w:t>в</w:t>
      </w:r>
      <w:r w:rsidR="0057688D" w:rsidRPr="006E698E">
        <w:rPr>
          <w:lang w:val="uk-UA"/>
        </w:rPr>
        <w:t xml:space="preserve"> </w:t>
      </w:r>
      <w:r w:rsidRPr="006E698E">
        <w:rPr>
          <w:lang w:val="uk-UA"/>
        </w:rPr>
        <w:t xml:space="preserve">комунальній власності територіальної громади міста Біла Церква </w:t>
      </w:r>
      <w:r w:rsidR="0057688D">
        <w:rPr>
          <w:lang w:val="uk-UA"/>
        </w:rPr>
        <w:t>й</w:t>
      </w:r>
      <w:r w:rsidR="0057688D" w:rsidRPr="006E698E">
        <w:rPr>
          <w:lang w:val="uk-UA"/>
        </w:rPr>
        <w:t xml:space="preserve"> </w:t>
      </w:r>
      <w:r w:rsidRPr="006E698E">
        <w:rPr>
          <w:lang w:val="uk-UA"/>
        </w:rPr>
        <w:t>закріплюється за Підприємством на праві господарського відання. Органом управління майном є Білоцерківська міська рада.</w:t>
      </w:r>
    </w:p>
    <w:p w:rsidR="00295C72" w:rsidRPr="006E698E" w:rsidRDefault="00295C72" w:rsidP="00295C72">
      <w:pPr>
        <w:pStyle w:val="rvps2"/>
        <w:spacing w:before="0" w:beforeAutospacing="0" w:after="0" w:afterAutospacing="0"/>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Перелік платних послуг, які нада</w:t>
      </w:r>
      <w:r w:rsidR="0057688D">
        <w:rPr>
          <w:lang w:val="uk-UA" w:eastAsia="uk-UA"/>
        </w:rPr>
        <w:t>є</w:t>
      </w:r>
      <w:r w:rsidRPr="006E698E">
        <w:rPr>
          <w:lang w:val="uk-UA" w:eastAsia="uk-UA"/>
        </w:rPr>
        <w:t xml:space="preserve"> </w:t>
      </w:r>
      <w:r w:rsidR="0057688D">
        <w:rPr>
          <w:lang w:val="uk-UA" w:eastAsia="uk-UA"/>
        </w:rPr>
        <w:t>О</w:t>
      </w:r>
      <w:r w:rsidRPr="006E698E">
        <w:rPr>
          <w:lang w:val="uk-UA" w:eastAsia="uk-UA"/>
        </w:rPr>
        <w:t>тримува</w:t>
      </w:r>
      <w:r w:rsidR="0057688D">
        <w:rPr>
          <w:lang w:val="uk-UA" w:eastAsia="uk-UA"/>
        </w:rPr>
        <w:t>ч</w:t>
      </w:r>
      <w:r w:rsidRPr="006E698E">
        <w:rPr>
          <w:lang w:val="uk-UA" w:eastAsia="uk-UA"/>
        </w:rPr>
        <w:t xml:space="preserve"> державної підтримки                                КП</w:t>
      </w:r>
      <w:r w:rsidR="0057688D">
        <w:rPr>
          <w:lang w:val="uk-UA" w:eastAsia="uk-UA"/>
        </w:rPr>
        <w:t> </w:t>
      </w:r>
      <w:r w:rsidRPr="006E698E">
        <w:rPr>
          <w:lang w:val="uk-UA" w:eastAsia="uk-UA"/>
        </w:rPr>
        <w:t>БЦМР «Тролейбусне управління»</w:t>
      </w:r>
      <w:r w:rsidR="0057688D">
        <w:rPr>
          <w:lang w:val="uk-UA" w:eastAsia="uk-UA"/>
        </w:rPr>
        <w:t>:</w:t>
      </w:r>
      <w:r w:rsidRPr="006E698E">
        <w:rPr>
          <w:lang w:val="uk-UA" w:eastAsia="uk-UA"/>
        </w:rPr>
        <w:t xml:space="preserve"> перевезення пасажирів електротранспортом; перевезення пасажирів автобусами; здавання в оренду власного нерухомого майна, частка якого </w:t>
      </w:r>
      <w:r w:rsidR="0057688D">
        <w:rPr>
          <w:lang w:val="uk-UA" w:eastAsia="uk-UA"/>
        </w:rPr>
        <w:t>становить</w:t>
      </w:r>
      <w:r w:rsidR="0057688D" w:rsidRPr="006E698E">
        <w:rPr>
          <w:lang w:val="uk-UA" w:eastAsia="uk-UA"/>
        </w:rPr>
        <w:t xml:space="preserve"> </w:t>
      </w:r>
      <w:r w:rsidRPr="006E698E">
        <w:rPr>
          <w:lang w:val="uk-UA" w:eastAsia="uk-UA"/>
        </w:rPr>
        <w:t>18,2 %.</w:t>
      </w:r>
    </w:p>
    <w:p w:rsidR="00295C72" w:rsidRPr="006E698E" w:rsidRDefault="00295C72" w:rsidP="00295C72">
      <w:pPr>
        <w:pStyle w:val="docdata"/>
        <w:spacing w:before="0" w:beforeAutospacing="0" w:after="0" w:afterAutospacing="0"/>
        <w:ind w:right="-1"/>
        <w:jc w:val="both"/>
      </w:pPr>
    </w:p>
    <w:p w:rsidR="00295C72" w:rsidRPr="006E698E" w:rsidRDefault="00295C72" w:rsidP="00295C72">
      <w:pPr>
        <w:numPr>
          <w:ilvl w:val="0"/>
          <w:numId w:val="2"/>
        </w:numPr>
        <w:spacing w:after="200"/>
        <w:ind w:left="567" w:hanging="567"/>
        <w:jc w:val="both"/>
      </w:pPr>
      <w:r w:rsidRPr="006E698E">
        <w:t xml:space="preserve">Отримувач не бере участі в інших тендерах на надання послуг, на які виділяється державна підтримка, що проводяться за межами території компетентного місцевого органу влади. </w:t>
      </w:r>
    </w:p>
    <w:p w:rsidR="00295C72" w:rsidRPr="006E698E" w:rsidRDefault="00295C72" w:rsidP="00295C72">
      <w:pPr>
        <w:numPr>
          <w:ilvl w:val="0"/>
          <w:numId w:val="2"/>
        </w:numPr>
        <w:tabs>
          <w:tab w:val="left" w:pos="567"/>
        </w:tabs>
        <w:ind w:left="567" w:hanging="567"/>
        <w:contextualSpacing/>
        <w:jc w:val="both"/>
        <w:rPr>
          <w:bCs/>
        </w:rPr>
      </w:pPr>
      <w:r w:rsidRPr="006E698E">
        <w:t xml:space="preserve">Надавач повідомив, що розрахунок тарифів Підприємства здійснюється відповідно до Порядку формування тарифів на послуги міського електричного транспорту (трамваї та тролейбуси), затвердженого наказом Міністерства транспорту та зв’язку України              від 25.11.2013 № 940. </w:t>
      </w:r>
      <w:r w:rsidRPr="006E698E">
        <w:rPr>
          <w:bCs/>
        </w:rPr>
        <w:t>Зокрема, до розрахунку тарифу на перевезення пасажирів електричним транспортом включено амортизаційні нарахування щодо використання рухомого складу.</w:t>
      </w:r>
    </w:p>
    <w:p w:rsidR="00295C72" w:rsidRPr="006E698E" w:rsidRDefault="00295C72" w:rsidP="00295C72">
      <w:pPr>
        <w:tabs>
          <w:tab w:val="left" w:pos="567"/>
        </w:tabs>
        <w:ind w:left="567"/>
        <w:contextualSpacing/>
        <w:jc w:val="both"/>
        <w:rPr>
          <w:bCs/>
        </w:rPr>
      </w:pPr>
    </w:p>
    <w:p w:rsidR="00295C72" w:rsidRPr="006E698E" w:rsidRDefault="00295C72" w:rsidP="00295C72">
      <w:pPr>
        <w:numPr>
          <w:ilvl w:val="0"/>
          <w:numId w:val="2"/>
        </w:numPr>
        <w:ind w:left="567" w:hanging="567"/>
        <w:contextualSpacing/>
        <w:jc w:val="both"/>
        <w:rPr>
          <w:bCs/>
        </w:rPr>
      </w:pPr>
      <w:r w:rsidRPr="006E698E">
        <w:rPr>
          <w:bCs/>
        </w:rPr>
        <w:t>КП БЦМР «Тролейбусне управління» здійснює перевезення пасажирів у міському електричному транспорті (тролейбус</w:t>
      </w:r>
      <w:r w:rsidR="0057688D">
        <w:rPr>
          <w:bCs/>
        </w:rPr>
        <w:t>ах</w:t>
      </w:r>
      <w:r w:rsidRPr="006E698E">
        <w:rPr>
          <w:bCs/>
        </w:rPr>
        <w:t>) за тарифами, встановленими рішенням Виконавчого комітету Білоцерківської міської ради від 15 січня 2019 року № 11 «Про тариф на проїзд у міському електричному транспорті», відповідно до якого міська рада встановила тариф на проїзд у міському електричному транспорті:</w:t>
      </w:r>
    </w:p>
    <w:p w:rsidR="00295C72" w:rsidRPr="006E698E" w:rsidRDefault="00295C72" w:rsidP="00295C72">
      <w:pPr>
        <w:contextualSpacing/>
        <w:jc w:val="both"/>
        <w:rPr>
          <w:rFonts w:eastAsia="Calibri"/>
          <w:bCs/>
          <w:sz w:val="22"/>
          <w:szCs w:val="22"/>
        </w:rPr>
      </w:pPr>
    </w:p>
    <w:p w:rsidR="00295C72" w:rsidRPr="006E698E" w:rsidRDefault="00295C72" w:rsidP="00295C72">
      <w:pPr>
        <w:ind w:firstLine="567"/>
        <w:contextualSpacing/>
        <w:jc w:val="both"/>
        <w:rPr>
          <w:bCs/>
        </w:rPr>
      </w:pPr>
      <w:r w:rsidRPr="006E698E">
        <w:rPr>
          <w:bCs/>
          <w:u w:val="single"/>
        </w:rPr>
        <w:t>при купівлі разового квитка</w:t>
      </w:r>
      <w:r w:rsidRPr="006E698E">
        <w:rPr>
          <w:bCs/>
        </w:rPr>
        <w:t xml:space="preserve">: </w:t>
      </w:r>
    </w:p>
    <w:p w:rsidR="00295C72" w:rsidRPr="006E698E" w:rsidRDefault="00295C72" w:rsidP="00295C72">
      <w:pPr>
        <w:ind w:left="567" w:hanging="567"/>
        <w:contextualSpacing/>
        <w:jc w:val="both"/>
        <w:rPr>
          <w:bCs/>
        </w:rPr>
      </w:pPr>
      <w:r w:rsidRPr="006E698E">
        <w:rPr>
          <w:bCs/>
        </w:rPr>
        <w:t xml:space="preserve">- </w:t>
      </w:r>
      <w:r w:rsidRPr="006E698E">
        <w:rPr>
          <w:bCs/>
        </w:rPr>
        <w:tab/>
        <w:t xml:space="preserve">у водія (кондуктора) </w:t>
      </w:r>
      <w:r w:rsidR="0057688D">
        <w:rPr>
          <w:bCs/>
        </w:rPr>
        <w:t>–</w:t>
      </w:r>
      <w:r w:rsidRPr="006E698E">
        <w:rPr>
          <w:bCs/>
        </w:rPr>
        <w:t xml:space="preserve"> 5,0 грн; </w:t>
      </w:r>
    </w:p>
    <w:p w:rsidR="00295C72" w:rsidRPr="006E698E" w:rsidRDefault="00295C72" w:rsidP="00295C72">
      <w:pPr>
        <w:ind w:left="567" w:hanging="567"/>
        <w:contextualSpacing/>
        <w:jc w:val="both"/>
        <w:rPr>
          <w:bCs/>
        </w:rPr>
      </w:pPr>
      <w:r w:rsidRPr="006E698E">
        <w:rPr>
          <w:bCs/>
        </w:rPr>
        <w:t xml:space="preserve">- </w:t>
      </w:r>
      <w:r w:rsidRPr="006E698E">
        <w:rPr>
          <w:bCs/>
        </w:rPr>
        <w:tab/>
        <w:t xml:space="preserve">у стаціонарній касі </w:t>
      </w:r>
      <w:r w:rsidR="0057688D">
        <w:rPr>
          <w:bCs/>
        </w:rPr>
        <w:t>–</w:t>
      </w:r>
      <w:r w:rsidRPr="006E698E">
        <w:rPr>
          <w:bCs/>
        </w:rPr>
        <w:t xml:space="preserve"> 4,0 грн;  </w:t>
      </w:r>
    </w:p>
    <w:p w:rsidR="00295C72" w:rsidRPr="006E698E" w:rsidRDefault="00295C72" w:rsidP="00295C72">
      <w:pPr>
        <w:ind w:left="567" w:hanging="567"/>
        <w:contextualSpacing/>
        <w:jc w:val="both"/>
        <w:rPr>
          <w:bCs/>
        </w:rPr>
      </w:pPr>
      <w:r w:rsidRPr="006E698E">
        <w:rPr>
          <w:bCs/>
        </w:rPr>
        <w:t xml:space="preserve">- </w:t>
      </w:r>
      <w:r w:rsidRPr="006E698E">
        <w:rPr>
          <w:bCs/>
        </w:rPr>
        <w:tab/>
        <w:t>з використанням мобільного додатк</w:t>
      </w:r>
      <w:r w:rsidR="0057688D">
        <w:rPr>
          <w:bCs/>
        </w:rPr>
        <w:t>а</w:t>
      </w:r>
      <w:r w:rsidRPr="006E698E">
        <w:rPr>
          <w:bCs/>
        </w:rPr>
        <w:t xml:space="preserve"> </w:t>
      </w:r>
      <w:r w:rsidR="0057688D">
        <w:rPr>
          <w:bCs/>
        </w:rPr>
        <w:t>–</w:t>
      </w:r>
      <w:r w:rsidRPr="006E698E">
        <w:rPr>
          <w:bCs/>
        </w:rPr>
        <w:t xml:space="preserve"> 4,5 грн;</w:t>
      </w:r>
    </w:p>
    <w:p w:rsidR="00295C72" w:rsidRPr="006E698E" w:rsidRDefault="00295C72" w:rsidP="00295C72">
      <w:pPr>
        <w:ind w:left="567" w:hanging="567"/>
        <w:contextualSpacing/>
        <w:jc w:val="both"/>
        <w:rPr>
          <w:bCs/>
        </w:rPr>
      </w:pPr>
      <w:r w:rsidRPr="006E698E">
        <w:rPr>
          <w:bCs/>
        </w:rPr>
        <w:tab/>
      </w:r>
    </w:p>
    <w:p w:rsidR="00295C72" w:rsidRPr="006E698E" w:rsidRDefault="00295C72" w:rsidP="00295C72">
      <w:pPr>
        <w:ind w:left="567"/>
        <w:contextualSpacing/>
        <w:jc w:val="both"/>
        <w:rPr>
          <w:bCs/>
        </w:rPr>
      </w:pPr>
      <w:r w:rsidRPr="006E698E">
        <w:rPr>
          <w:bCs/>
          <w:u w:val="single"/>
        </w:rPr>
        <w:t>у разі використання пластикової безконтактної картки при одноразовому придбанні поїздок</w:t>
      </w:r>
      <w:r w:rsidRPr="006E698E">
        <w:rPr>
          <w:bCs/>
        </w:rPr>
        <w:t xml:space="preserve">: </w:t>
      </w:r>
    </w:p>
    <w:p w:rsidR="00295C72" w:rsidRPr="006E698E" w:rsidRDefault="00295C72" w:rsidP="00295C72">
      <w:pPr>
        <w:ind w:left="567" w:hanging="567"/>
        <w:contextualSpacing/>
        <w:jc w:val="both"/>
        <w:rPr>
          <w:bCs/>
        </w:rPr>
      </w:pPr>
      <w:r w:rsidRPr="006E698E">
        <w:rPr>
          <w:bCs/>
        </w:rPr>
        <w:t xml:space="preserve">- </w:t>
      </w:r>
      <w:r w:rsidRPr="006E698E">
        <w:rPr>
          <w:bCs/>
        </w:rPr>
        <w:tab/>
        <w:t>1</w:t>
      </w:r>
      <w:r w:rsidR="0057688D">
        <w:rPr>
          <w:bCs/>
        </w:rPr>
        <w:t xml:space="preserve"> – </w:t>
      </w:r>
      <w:r w:rsidRPr="006E698E">
        <w:rPr>
          <w:bCs/>
        </w:rPr>
        <w:t xml:space="preserve">20 поїздок </w:t>
      </w:r>
      <w:r w:rsidR="0057688D">
        <w:rPr>
          <w:bCs/>
        </w:rPr>
        <w:t xml:space="preserve">– </w:t>
      </w:r>
      <w:r w:rsidRPr="006E698E">
        <w:rPr>
          <w:bCs/>
        </w:rPr>
        <w:t xml:space="preserve"> по 3,0 грн/поїздка; </w:t>
      </w:r>
    </w:p>
    <w:p w:rsidR="00295C72" w:rsidRPr="006E698E" w:rsidRDefault="00295C72" w:rsidP="00295C72">
      <w:pPr>
        <w:ind w:left="567" w:hanging="567"/>
        <w:contextualSpacing/>
        <w:jc w:val="both"/>
        <w:rPr>
          <w:bCs/>
        </w:rPr>
      </w:pPr>
      <w:r w:rsidRPr="006E698E">
        <w:rPr>
          <w:bCs/>
        </w:rPr>
        <w:t xml:space="preserve">- </w:t>
      </w:r>
      <w:r w:rsidRPr="006E698E">
        <w:rPr>
          <w:bCs/>
        </w:rPr>
        <w:tab/>
        <w:t>21</w:t>
      </w:r>
      <w:r w:rsidR="0057688D">
        <w:rPr>
          <w:bCs/>
        </w:rPr>
        <w:t xml:space="preserve"> – </w:t>
      </w:r>
      <w:r w:rsidRPr="006E698E">
        <w:rPr>
          <w:bCs/>
        </w:rPr>
        <w:t xml:space="preserve">40 поїздок </w:t>
      </w:r>
      <w:r w:rsidR="0057688D">
        <w:rPr>
          <w:bCs/>
        </w:rPr>
        <w:t>–</w:t>
      </w:r>
      <w:r w:rsidRPr="006E698E">
        <w:rPr>
          <w:bCs/>
        </w:rPr>
        <w:t xml:space="preserve"> по 3,0 грн/поїздка, </w:t>
      </w:r>
      <w:r w:rsidR="0057688D">
        <w:rPr>
          <w:bCs/>
        </w:rPr>
        <w:t>і</w:t>
      </w:r>
      <w:r w:rsidRPr="006E698E">
        <w:rPr>
          <w:bCs/>
        </w:rPr>
        <w:t xml:space="preserve">з зарахуванням 2 безкоштовних поїздок; </w:t>
      </w:r>
    </w:p>
    <w:p w:rsidR="00295C72" w:rsidRPr="006E698E" w:rsidRDefault="00295C72" w:rsidP="00295C72">
      <w:pPr>
        <w:ind w:left="567" w:hanging="567"/>
        <w:contextualSpacing/>
        <w:jc w:val="both"/>
        <w:rPr>
          <w:bCs/>
        </w:rPr>
      </w:pPr>
      <w:r w:rsidRPr="006E698E">
        <w:rPr>
          <w:bCs/>
        </w:rPr>
        <w:t xml:space="preserve">- </w:t>
      </w:r>
      <w:r w:rsidRPr="006E698E">
        <w:rPr>
          <w:bCs/>
        </w:rPr>
        <w:tab/>
        <w:t>41</w:t>
      </w:r>
      <w:r w:rsidR="0057688D">
        <w:rPr>
          <w:bCs/>
        </w:rPr>
        <w:t xml:space="preserve"> – </w:t>
      </w:r>
      <w:r w:rsidRPr="006E698E">
        <w:rPr>
          <w:bCs/>
        </w:rPr>
        <w:t xml:space="preserve">60 поїздок </w:t>
      </w:r>
      <w:r w:rsidR="0057688D">
        <w:rPr>
          <w:bCs/>
        </w:rPr>
        <w:t>–</w:t>
      </w:r>
      <w:r w:rsidRPr="006E698E">
        <w:rPr>
          <w:bCs/>
        </w:rPr>
        <w:t xml:space="preserve"> по 3,0 грн/поїздка, </w:t>
      </w:r>
      <w:r w:rsidR="0057688D">
        <w:rPr>
          <w:bCs/>
        </w:rPr>
        <w:t>і</w:t>
      </w:r>
      <w:r w:rsidRPr="006E698E">
        <w:rPr>
          <w:bCs/>
        </w:rPr>
        <w:t xml:space="preserve">з зарахуванням 5 безкоштовних поїздок; </w:t>
      </w:r>
    </w:p>
    <w:p w:rsidR="00295C72" w:rsidRPr="006E698E" w:rsidRDefault="00295C72" w:rsidP="00295C72">
      <w:pPr>
        <w:ind w:left="567" w:hanging="567"/>
        <w:contextualSpacing/>
        <w:jc w:val="both"/>
        <w:rPr>
          <w:bCs/>
        </w:rPr>
      </w:pPr>
      <w:r w:rsidRPr="006E698E">
        <w:rPr>
          <w:bCs/>
        </w:rPr>
        <w:t xml:space="preserve">- </w:t>
      </w:r>
      <w:r w:rsidRPr="006E698E">
        <w:rPr>
          <w:bCs/>
        </w:rPr>
        <w:tab/>
        <w:t>61</w:t>
      </w:r>
      <w:r w:rsidR="0057688D">
        <w:rPr>
          <w:bCs/>
        </w:rPr>
        <w:t xml:space="preserve"> – </w:t>
      </w:r>
      <w:r w:rsidRPr="006E698E">
        <w:rPr>
          <w:bCs/>
        </w:rPr>
        <w:t xml:space="preserve">80 поїздок </w:t>
      </w:r>
      <w:r w:rsidR="0057688D">
        <w:rPr>
          <w:bCs/>
        </w:rPr>
        <w:t>–</w:t>
      </w:r>
      <w:r w:rsidRPr="006E698E">
        <w:rPr>
          <w:bCs/>
        </w:rPr>
        <w:t xml:space="preserve"> по 3,0 грн/поїздка, </w:t>
      </w:r>
      <w:r w:rsidR="0057688D">
        <w:rPr>
          <w:bCs/>
        </w:rPr>
        <w:t>і</w:t>
      </w:r>
      <w:r w:rsidRPr="006E698E">
        <w:rPr>
          <w:bCs/>
        </w:rPr>
        <w:t xml:space="preserve">з зарахуванням 8 безкоштовних поїздок; </w:t>
      </w:r>
    </w:p>
    <w:p w:rsidR="00295C72" w:rsidRPr="006E698E" w:rsidRDefault="00295C72" w:rsidP="00295C72">
      <w:pPr>
        <w:ind w:left="567" w:hanging="567"/>
        <w:contextualSpacing/>
        <w:jc w:val="both"/>
        <w:rPr>
          <w:bCs/>
        </w:rPr>
      </w:pPr>
      <w:r w:rsidRPr="006E698E">
        <w:rPr>
          <w:bCs/>
        </w:rPr>
        <w:t xml:space="preserve">- </w:t>
      </w:r>
      <w:r w:rsidRPr="006E698E">
        <w:rPr>
          <w:bCs/>
        </w:rPr>
        <w:tab/>
        <w:t>81</w:t>
      </w:r>
      <w:r w:rsidR="0057688D">
        <w:rPr>
          <w:bCs/>
        </w:rPr>
        <w:t xml:space="preserve"> – </w:t>
      </w:r>
      <w:r w:rsidRPr="006E698E">
        <w:rPr>
          <w:bCs/>
        </w:rPr>
        <w:t xml:space="preserve">100 поїздок </w:t>
      </w:r>
      <w:r w:rsidR="0057688D">
        <w:rPr>
          <w:bCs/>
        </w:rPr>
        <w:t>–</w:t>
      </w:r>
      <w:r w:rsidRPr="006E698E">
        <w:rPr>
          <w:bCs/>
        </w:rPr>
        <w:t xml:space="preserve"> по 3,0 грн/поїздка, </w:t>
      </w:r>
      <w:r w:rsidR="0057688D">
        <w:rPr>
          <w:bCs/>
        </w:rPr>
        <w:t>і</w:t>
      </w:r>
      <w:r w:rsidRPr="006E698E">
        <w:rPr>
          <w:bCs/>
        </w:rPr>
        <w:t>з зарахуванням 14 безкоштовних поїздок.</w:t>
      </w:r>
    </w:p>
    <w:p w:rsidR="00295C72" w:rsidRPr="006E698E" w:rsidRDefault="00295C72" w:rsidP="00295C72">
      <w:pPr>
        <w:tabs>
          <w:tab w:val="left" w:pos="567"/>
        </w:tabs>
        <w:ind w:left="567"/>
        <w:contextualSpacing/>
        <w:jc w:val="both"/>
        <w:rPr>
          <w:bCs/>
        </w:rPr>
      </w:pPr>
    </w:p>
    <w:p w:rsidR="00295C72" w:rsidRPr="006E698E" w:rsidRDefault="00295C72" w:rsidP="00295C72">
      <w:pPr>
        <w:tabs>
          <w:tab w:val="left" w:pos="567"/>
        </w:tabs>
        <w:ind w:left="567"/>
        <w:contextualSpacing/>
        <w:jc w:val="both"/>
        <w:rPr>
          <w:bCs/>
        </w:rPr>
      </w:pPr>
      <w:r w:rsidRPr="006E698E">
        <w:rPr>
          <w:bCs/>
        </w:rPr>
        <w:t xml:space="preserve">Зокрема, встановлено економічно обґрунтований тариф для здійснення компенсаційних виплат за перевезення пільгових категорій населення </w:t>
      </w:r>
      <w:r w:rsidR="00854EDE">
        <w:rPr>
          <w:bCs/>
        </w:rPr>
        <w:t>–</w:t>
      </w:r>
      <w:r w:rsidRPr="006E698E">
        <w:rPr>
          <w:bCs/>
        </w:rPr>
        <w:t xml:space="preserve"> 5,0 грн та вартість проїзного квитка</w:t>
      </w:r>
      <w:r w:rsidR="00854EDE">
        <w:rPr>
          <w:bCs/>
        </w:rPr>
        <w:t xml:space="preserve"> строком</w:t>
      </w:r>
      <w:r w:rsidRPr="006E698E">
        <w:rPr>
          <w:bCs/>
        </w:rPr>
        <w:t xml:space="preserve"> на </w:t>
      </w:r>
      <w:r w:rsidR="00854EDE">
        <w:rPr>
          <w:bCs/>
        </w:rPr>
        <w:t>один</w:t>
      </w:r>
      <w:r w:rsidR="00854EDE" w:rsidRPr="006E698E">
        <w:rPr>
          <w:bCs/>
        </w:rPr>
        <w:t xml:space="preserve"> </w:t>
      </w:r>
      <w:r w:rsidRPr="006E698E">
        <w:rPr>
          <w:bCs/>
        </w:rPr>
        <w:t xml:space="preserve">місяць на проїзд у міському електричному транспорті: </w:t>
      </w:r>
    </w:p>
    <w:p w:rsidR="00295C72" w:rsidRPr="006E698E" w:rsidRDefault="00295C72" w:rsidP="00295C72">
      <w:pPr>
        <w:tabs>
          <w:tab w:val="left" w:pos="567"/>
        </w:tabs>
        <w:ind w:left="567"/>
        <w:contextualSpacing/>
        <w:jc w:val="both"/>
        <w:rPr>
          <w:bCs/>
        </w:rPr>
      </w:pPr>
      <w:r w:rsidRPr="006E698E">
        <w:rPr>
          <w:bCs/>
        </w:rPr>
        <w:t xml:space="preserve">- для громадян </w:t>
      </w:r>
      <w:r w:rsidR="00854EDE">
        <w:rPr>
          <w:bCs/>
        </w:rPr>
        <w:t>–</w:t>
      </w:r>
      <w:r w:rsidRPr="006E698E">
        <w:rPr>
          <w:bCs/>
        </w:rPr>
        <w:t xml:space="preserve"> 140,0 грн; </w:t>
      </w:r>
    </w:p>
    <w:p w:rsidR="00295C72" w:rsidRPr="006E698E" w:rsidRDefault="00295C72" w:rsidP="00295C72">
      <w:pPr>
        <w:tabs>
          <w:tab w:val="left" w:pos="567"/>
        </w:tabs>
        <w:ind w:left="567"/>
        <w:contextualSpacing/>
        <w:jc w:val="both"/>
        <w:rPr>
          <w:bCs/>
        </w:rPr>
      </w:pPr>
      <w:r w:rsidRPr="006E698E">
        <w:rPr>
          <w:bCs/>
        </w:rPr>
        <w:t xml:space="preserve">- для студентів денної форми навчання </w:t>
      </w:r>
      <w:r w:rsidR="00854EDE">
        <w:rPr>
          <w:bCs/>
        </w:rPr>
        <w:t>–</w:t>
      </w:r>
      <w:r w:rsidRPr="006E698E">
        <w:rPr>
          <w:bCs/>
        </w:rPr>
        <w:t xml:space="preserve"> 70,0 грн/за електронними студентськими квитками </w:t>
      </w:r>
      <w:r w:rsidR="00854EDE">
        <w:rPr>
          <w:bCs/>
        </w:rPr>
        <w:t>–</w:t>
      </w:r>
      <w:r w:rsidRPr="006E698E">
        <w:rPr>
          <w:bCs/>
        </w:rPr>
        <w:t xml:space="preserve"> 60,0 грн; </w:t>
      </w:r>
    </w:p>
    <w:p w:rsidR="00295C72" w:rsidRPr="006E698E" w:rsidRDefault="00295C72" w:rsidP="00295C72">
      <w:pPr>
        <w:tabs>
          <w:tab w:val="left" w:pos="567"/>
        </w:tabs>
        <w:ind w:left="567"/>
        <w:contextualSpacing/>
        <w:jc w:val="both"/>
        <w:rPr>
          <w:bCs/>
        </w:rPr>
      </w:pPr>
      <w:r w:rsidRPr="006E698E">
        <w:rPr>
          <w:bCs/>
        </w:rPr>
        <w:t xml:space="preserve">- для учнів загальноосвітніх шкіл </w:t>
      </w:r>
      <w:r w:rsidR="00854EDE">
        <w:rPr>
          <w:bCs/>
        </w:rPr>
        <w:t>–</w:t>
      </w:r>
      <w:r w:rsidRPr="006E698E">
        <w:rPr>
          <w:bCs/>
        </w:rPr>
        <w:t xml:space="preserve"> 40,0 грн/за електронними учнівськими квитками </w:t>
      </w:r>
      <w:r w:rsidR="00854EDE">
        <w:rPr>
          <w:bCs/>
        </w:rPr>
        <w:t>–</w:t>
      </w:r>
      <w:r w:rsidRPr="006E698E">
        <w:rPr>
          <w:bCs/>
        </w:rPr>
        <w:t xml:space="preserve">-30,0 грн. </w:t>
      </w:r>
    </w:p>
    <w:p w:rsidR="00295C72" w:rsidRPr="006E698E" w:rsidRDefault="00295C72" w:rsidP="00295C72">
      <w:pPr>
        <w:tabs>
          <w:tab w:val="left" w:pos="567"/>
        </w:tabs>
        <w:ind w:left="567"/>
        <w:contextualSpacing/>
        <w:jc w:val="both"/>
        <w:rPr>
          <w:bCs/>
        </w:rPr>
      </w:pPr>
      <w:r w:rsidRPr="006E698E">
        <w:rPr>
          <w:bCs/>
        </w:rPr>
        <w:lastRenderedPageBreak/>
        <w:t xml:space="preserve">Датою початку місяця вважається дата першої </w:t>
      </w:r>
      <w:proofErr w:type="spellStart"/>
      <w:r w:rsidRPr="006E698E">
        <w:rPr>
          <w:bCs/>
        </w:rPr>
        <w:t>валідації</w:t>
      </w:r>
      <w:proofErr w:type="spellEnd"/>
      <w:r w:rsidRPr="006E698E">
        <w:rPr>
          <w:bCs/>
        </w:rPr>
        <w:t xml:space="preserve"> (використання картки).</w:t>
      </w:r>
    </w:p>
    <w:p w:rsidR="00295C72" w:rsidRPr="006E698E" w:rsidRDefault="00295C72" w:rsidP="00295C72">
      <w:pPr>
        <w:tabs>
          <w:tab w:val="left" w:pos="567"/>
        </w:tabs>
        <w:ind w:left="567"/>
        <w:contextualSpacing/>
        <w:jc w:val="both"/>
        <w:rPr>
          <w:bCs/>
        </w:rPr>
      </w:pPr>
    </w:p>
    <w:p w:rsidR="00295C72" w:rsidRPr="006E698E" w:rsidRDefault="00295C72" w:rsidP="00295C72">
      <w:pPr>
        <w:numPr>
          <w:ilvl w:val="0"/>
          <w:numId w:val="2"/>
        </w:numPr>
        <w:tabs>
          <w:tab w:val="left" w:pos="567"/>
        </w:tabs>
        <w:ind w:left="567" w:hanging="567"/>
        <w:contextualSpacing/>
        <w:jc w:val="both"/>
        <w:rPr>
          <w:bCs/>
        </w:rPr>
      </w:pPr>
      <w:r w:rsidRPr="006E698E">
        <w:t xml:space="preserve">Підприємство здійснює свою діяльність із перевезення пасажирів електричним транспортом (тролейбусами) відповідно до Договору </w:t>
      </w:r>
      <w:r w:rsidRPr="006E698E">
        <w:rPr>
          <w:u w:val="single"/>
        </w:rPr>
        <w:t>про організацію надання транспортних послуг з перевезень міським електричним транспортом</w:t>
      </w:r>
      <w:r w:rsidRPr="006E698E">
        <w:t xml:space="preserve"> у місті Біла Церква від 02.01.2021 б/н, укладеного між Виконавчим комітетом Білоцерківської міської ради та КП БЦМР «Тролейбусне управління» (далі –</w:t>
      </w:r>
      <w:r w:rsidR="00A54F6F" w:rsidRPr="006E698E">
        <w:t xml:space="preserve"> </w:t>
      </w:r>
      <w:r w:rsidRPr="006E698E">
        <w:t xml:space="preserve">Договір 1), який містить чіткий перелік маршрутів, на яких Підприємство здійснює перевезення пасажирів електричним транспортом. Предметом зазначеного </w:t>
      </w:r>
      <w:r w:rsidR="003F2054">
        <w:t>Д</w:t>
      </w:r>
      <w:r w:rsidRPr="006E698E">
        <w:t xml:space="preserve">оговору </w:t>
      </w:r>
      <w:r w:rsidR="003F2054">
        <w:t xml:space="preserve">1 </w:t>
      </w:r>
      <w:r w:rsidRPr="006E698E">
        <w:t xml:space="preserve">є пасажирські перевезення тролейбусами, </w:t>
      </w:r>
      <w:r w:rsidR="003F2054">
        <w:t>він</w:t>
      </w:r>
      <w:r w:rsidR="00A450EE" w:rsidRPr="006E698E">
        <w:t xml:space="preserve"> </w:t>
      </w:r>
      <w:r w:rsidRPr="006E698E">
        <w:t xml:space="preserve">діє з 01.01.2021 по 31.12.2021 та набуває чинності з дати його </w:t>
      </w:r>
      <w:r w:rsidR="003F2054" w:rsidRPr="006E698E">
        <w:t>уклад</w:t>
      </w:r>
      <w:r w:rsidR="003F2054">
        <w:t>е</w:t>
      </w:r>
      <w:r w:rsidR="003F2054" w:rsidRPr="006E698E">
        <w:t>ння</w:t>
      </w:r>
      <w:r w:rsidRPr="006E698E">
        <w:t xml:space="preserve">. </w:t>
      </w:r>
      <w:r w:rsidR="003F2054">
        <w:t>Д</w:t>
      </w:r>
      <w:r w:rsidRPr="006E698E">
        <w:t>оговір</w:t>
      </w:r>
      <w:r w:rsidR="003F2054">
        <w:t xml:space="preserve"> 1 </w:t>
      </w:r>
      <w:r w:rsidRPr="006E698E">
        <w:t>вважається продовжени</w:t>
      </w:r>
      <w:r w:rsidR="00A450EE">
        <w:t>м</w:t>
      </w:r>
      <w:r w:rsidRPr="006E698E">
        <w:t xml:space="preserve">, якщо за місяць до закінчення строку його дії жодна </w:t>
      </w:r>
      <w:r w:rsidR="00CC7F26">
        <w:t>зі</w:t>
      </w:r>
      <w:r w:rsidR="00CC7F26" w:rsidRPr="006E698E">
        <w:t xml:space="preserve"> </w:t>
      </w:r>
      <w:r w:rsidRPr="006E698E">
        <w:t>сторін не заявила про розірвання договору або його перегляд.</w:t>
      </w:r>
    </w:p>
    <w:p w:rsidR="00295C72" w:rsidRPr="006E698E" w:rsidRDefault="00295C72" w:rsidP="00295C72">
      <w:pPr>
        <w:tabs>
          <w:tab w:val="left" w:pos="567"/>
        </w:tabs>
        <w:ind w:left="567"/>
        <w:contextualSpacing/>
        <w:jc w:val="both"/>
      </w:pPr>
      <w:r w:rsidRPr="006E698E">
        <w:t xml:space="preserve">Зокрема, Управління соціального захисту населення Білоцерківської міської ради уклало договір </w:t>
      </w:r>
      <w:r w:rsidR="00CC7F26">
        <w:t>і</w:t>
      </w:r>
      <w:r w:rsidRPr="006E698E">
        <w:t xml:space="preserve">з КП БЦМР «Тролейбусне управління» </w:t>
      </w:r>
      <w:r w:rsidRPr="006E698E">
        <w:rPr>
          <w:u w:val="single"/>
        </w:rPr>
        <w:t>про відшкодування витрат за перевезення пільгових категорій громадян міським електричним транспортом</w:t>
      </w:r>
      <w:r w:rsidRPr="006E698E">
        <w:t xml:space="preserve"> у місті Біла Церква від 26.01.2021 б/н (далі – Договір 2). Предметом </w:t>
      </w:r>
      <w:r w:rsidR="005410D3">
        <w:t>Д</w:t>
      </w:r>
      <w:r w:rsidRPr="006E698E">
        <w:t xml:space="preserve">оговору </w:t>
      </w:r>
      <w:r w:rsidR="005410D3">
        <w:t xml:space="preserve">2 </w:t>
      </w:r>
      <w:r w:rsidRPr="006E698E">
        <w:t xml:space="preserve">є  відшкодування витрат, пов’язаних </w:t>
      </w:r>
      <w:r w:rsidR="00CC7F26">
        <w:t>і</w:t>
      </w:r>
      <w:r w:rsidRPr="006E698E">
        <w:t>з перевезенням громадян, які мають право на пільговий проїзд, у міському електричному транспорті за рахунок коштів місцевого бюджету</w:t>
      </w:r>
      <w:r w:rsidR="00223B12">
        <w:t>, він</w:t>
      </w:r>
      <w:r w:rsidRPr="006E698E">
        <w:t xml:space="preserve"> діє з 01.01.2021 по 31.12.2021 і набуває чинності з дати його уклад</w:t>
      </w:r>
      <w:r w:rsidR="00223B12">
        <w:t>е</w:t>
      </w:r>
      <w:r w:rsidRPr="006E698E">
        <w:t xml:space="preserve">ння, містить розрахунок обсягів відшкодування витрат за пільговий проїзд у міському електричному транспорті. </w:t>
      </w:r>
    </w:p>
    <w:p w:rsidR="00295C72" w:rsidRPr="006E698E" w:rsidRDefault="00295C72" w:rsidP="00295C72">
      <w:pPr>
        <w:tabs>
          <w:tab w:val="left" w:pos="567"/>
        </w:tabs>
        <w:ind w:left="567"/>
        <w:contextualSpacing/>
        <w:jc w:val="both"/>
      </w:pPr>
    </w:p>
    <w:p w:rsidR="00295C72" w:rsidRPr="006E698E" w:rsidRDefault="00295C72" w:rsidP="00295C72">
      <w:pPr>
        <w:pStyle w:val="rvps2"/>
        <w:numPr>
          <w:ilvl w:val="0"/>
          <w:numId w:val="2"/>
        </w:numPr>
        <w:tabs>
          <w:tab w:val="left" w:pos="567"/>
        </w:tabs>
        <w:spacing w:before="0" w:beforeAutospacing="0" w:after="0" w:afterAutospacing="0"/>
        <w:ind w:left="567" w:hanging="567"/>
        <w:contextualSpacing/>
        <w:jc w:val="both"/>
        <w:rPr>
          <w:bCs/>
          <w:lang w:val="uk-UA"/>
        </w:rPr>
      </w:pPr>
      <w:r w:rsidRPr="006E698E">
        <w:rPr>
          <w:lang w:val="uk-UA"/>
        </w:rPr>
        <w:t xml:space="preserve">Отримувач державної допомоги відповідно до Програми 1, </w:t>
      </w:r>
      <w:r w:rsidR="0079254C" w:rsidRPr="006E698E">
        <w:rPr>
          <w:rFonts w:eastAsiaTheme="minorHAnsi"/>
          <w:lang w:val="uk-UA"/>
        </w:rPr>
        <w:t>Програми 2</w:t>
      </w:r>
      <w:r w:rsidRPr="006E698E">
        <w:rPr>
          <w:lang w:val="uk-UA"/>
        </w:rPr>
        <w:t xml:space="preserve"> та Програми </w:t>
      </w:r>
      <w:r w:rsidR="0079254C" w:rsidRPr="006E698E">
        <w:rPr>
          <w:lang w:val="uk-UA"/>
        </w:rPr>
        <w:t>3</w:t>
      </w:r>
      <w:r w:rsidRPr="006E698E">
        <w:rPr>
          <w:lang w:val="uk-UA"/>
        </w:rPr>
        <w:t xml:space="preserve"> з метою економії та прозорого використання отриманих коштів здійснює та планує здійснювати на 2022 – 2025 роки закупівлі товарів, матеріалів, техніки, рухомого складу відповідно до вимог Закону України «Про публічні закупівлі» </w:t>
      </w:r>
      <w:r w:rsidRPr="006E698E">
        <w:rPr>
          <w:color w:val="000000"/>
          <w:lang w:val="uk-UA"/>
        </w:rPr>
        <w:t xml:space="preserve">через електронний майданчик </w:t>
      </w:r>
      <w:r w:rsidRPr="006E698E">
        <w:rPr>
          <w:lang w:val="uk-UA"/>
        </w:rPr>
        <w:t xml:space="preserve">«zakupki.prom.ua», звіти </w:t>
      </w:r>
      <w:r w:rsidR="00CC7F26">
        <w:rPr>
          <w:lang w:val="uk-UA"/>
        </w:rPr>
        <w:t xml:space="preserve">щодо </w:t>
      </w:r>
      <w:r w:rsidRPr="006E698E">
        <w:rPr>
          <w:lang w:val="uk-UA"/>
        </w:rPr>
        <w:t xml:space="preserve">яких офіційно опубліковані </w:t>
      </w:r>
      <w:r w:rsidRPr="006E698E">
        <w:rPr>
          <w:color w:val="000000" w:themeColor="text1"/>
          <w:lang w:val="uk-UA"/>
        </w:rPr>
        <w:t xml:space="preserve">в </w:t>
      </w:r>
      <w:r w:rsidRPr="006E698E">
        <w:rPr>
          <w:color w:val="000000"/>
          <w:lang w:val="uk-UA"/>
        </w:rPr>
        <w:t>електронній системі «ProZorro».</w:t>
      </w:r>
    </w:p>
    <w:p w:rsidR="00295C72" w:rsidRPr="006E698E" w:rsidRDefault="00295C72" w:rsidP="00295C72">
      <w:pPr>
        <w:pStyle w:val="rvps2"/>
        <w:tabs>
          <w:tab w:val="left" w:pos="567"/>
        </w:tabs>
        <w:spacing w:before="0" w:beforeAutospacing="0" w:after="0" w:afterAutospacing="0"/>
        <w:ind w:left="567"/>
        <w:contextualSpacing/>
        <w:jc w:val="both"/>
        <w:rPr>
          <w:bCs/>
          <w:lang w:val="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rPr>
        <w:t xml:space="preserve">Державна підтримка відповідно до Програми 1 та </w:t>
      </w:r>
      <w:r w:rsidR="0079254C" w:rsidRPr="006E698E">
        <w:rPr>
          <w:rFonts w:eastAsiaTheme="minorHAnsi"/>
          <w:lang w:val="uk-UA"/>
        </w:rPr>
        <w:t>Програми 2</w:t>
      </w:r>
      <w:r w:rsidRPr="006E698E">
        <w:rPr>
          <w:lang w:val="uk-UA"/>
        </w:rPr>
        <w:t xml:space="preserve"> спрямовується на:</w:t>
      </w:r>
    </w:p>
    <w:p w:rsidR="00295C72" w:rsidRPr="006E698E" w:rsidRDefault="00295C72" w:rsidP="00295C72">
      <w:pPr>
        <w:pStyle w:val="rvps2"/>
        <w:spacing w:before="0" w:beforeAutospacing="0" w:after="0" w:afterAutospacing="0"/>
        <w:ind w:left="567"/>
        <w:jc w:val="both"/>
        <w:rPr>
          <w:lang w:val="uk-UA" w:eastAsia="uk-UA"/>
        </w:rPr>
      </w:pPr>
    </w:p>
    <w:tbl>
      <w:tblPr>
        <w:tblOverlap w:val="never"/>
        <w:tblW w:w="9072" w:type="dxa"/>
        <w:tblInd w:w="577" w:type="dxa"/>
        <w:tblLayout w:type="fixed"/>
        <w:tblCellMar>
          <w:left w:w="10" w:type="dxa"/>
          <w:right w:w="10" w:type="dxa"/>
        </w:tblCellMar>
        <w:tblLook w:val="0000" w:firstRow="0" w:lastRow="0" w:firstColumn="0" w:lastColumn="0" w:noHBand="0" w:noVBand="0"/>
      </w:tblPr>
      <w:tblGrid>
        <w:gridCol w:w="3119"/>
        <w:gridCol w:w="1190"/>
        <w:gridCol w:w="1191"/>
        <w:gridCol w:w="1190"/>
        <w:gridCol w:w="1191"/>
        <w:gridCol w:w="1191"/>
      </w:tblGrid>
      <w:tr w:rsidR="0079254C" w:rsidRPr="006E698E" w:rsidTr="0079254C">
        <w:trPr>
          <w:trHeight w:hRule="exact" w:val="309"/>
        </w:trPr>
        <w:tc>
          <w:tcPr>
            <w:tcW w:w="3119"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b/>
                <w:color w:val="auto"/>
                <w:lang w:val="uk-UA" w:bidi="uk-UA"/>
              </w:rPr>
            </w:pPr>
            <w:r w:rsidRPr="006E698E">
              <w:rPr>
                <w:b/>
                <w:i/>
                <w:iCs/>
                <w:color w:val="auto"/>
                <w:lang w:val="uk-UA" w:bidi="uk-UA"/>
              </w:rPr>
              <w:t>Найменування заходу</w:t>
            </w:r>
          </w:p>
          <w:p w:rsidR="00295C72" w:rsidRPr="006E698E" w:rsidRDefault="00295C72" w:rsidP="00295C72">
            <w:pPr>
              <w:pStyle w:val="afe"/>
              <w:ind w:hanging="17"/>
              <w:jc w:val="center"/>
              <w:rPr>
                <w:b/>
                <w:color w:val="auto"/>
                <w:lang w:val="uk-UA"/>
              </w:rPr>
            </w:pPr>
          </w:p>
        </w:tc>
        <w:tc>
          <w:tcPr>
            <w:tcW w:w="5953" w:type="dxa"/>
            <w:gridSpan w:val="5"/>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b/>
                <w:color w:val="auto"/>
                <w:lang w:val="uk-UA"/>
              </w:rPr>
              <w:t>Фінансування, тис. грн</w:t>
            </w:r>
          </w:p>
        </w:tc>
      </w:tr>
      <w:tr w:rsidR="0079254C" w:rsidRPr="006E698E" w:rsidTr="0079254C">
        <w:trPr>
          <w:trHeight w:hRule="exact" w:val="309"/>
        </w:trPr>
        <w:tc>
          <w:tcPr>
            <w:tcW w:w="3119" w:type="dxa"/>
            <w:tcBorders>
              <w:top w:val="single" w:sz="4" w:space="0" w:color="auto"/>
              <w:left w:val="single" w:sz="4" w:space="0" w:color="auto"/>
            </w:tcBorders>
            <w:shd w:val="clear" w:color="auto" w:fill="FFFFFF"/>
            <w:vAlign w:val="bottom"/>
          </w:tcPr>
          <w:p w:rsidR="00295C72" w:rsidRPr="006E698E" w:rsidRDefault="00295C72" w:rsidP="00295C72">
            <w:pPr>
              <w:pStyle w:val="afe"/>
              <w:ind w:hanging="17"/>
              <w:jc w:val="center"/>
              <w:rPr>
                <w:color w:val="auto"/>
                <w:lang w:val="uk-UA"/>
              </w:rPr>
            </w:pP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2021 р.</w:t>
            </w:r>
          </w:p>
        </w:tc>
        <w:tc>
          <w:tcPr>
            <w:tcW w:w="1191" w:type="dxa"/>
            <w:tcBorders>
              <w:top w:val="single" w:sz="4" w:space="0" w:color="auto"/>
              <w:left w:val="single" w:sz="4" w:space="0" w:color="auto"/>
            </w:tcBorders>
            <w:shd w:val="clear" w:color="auto" w:fill="FFFFFF"/>
            <w:vAlign w:val="bottom"/>
          </w:tcPr>
          <w:p w:rsidR="00295C72" w:rsidRPr="006E698E" w:rsidRDefault="00295C72" w:rsidP="009C5078">
            <w:pPr>
              <w:pStyle w:val="afe"/>
              <w:ind w:left="99"/>
              <w:jc w:val="center"/>
              <w:rPr>
                <w:b/>
                <w:color w:val="auto"/>
                <w:lang w:val="uk-UA"/>
              </w:rPr>
            </w:pPr>
            <w:r w:rsidRPr="006E698E">
              <w:rPr>
                <w:b/>
                <w:color w:val="auto"/>
                <w:lang w:val="uk-UA"/>
              </w:rPr>
              <w:t>2022 р.</w:t>
            </w:r>
            <w:r w:rsidR="009C5078" w:rsidRPr="00864421">
              <w:rPr>
                <w:b/>
                <w:color w:val="auto"/>
                <w:vertAlign w:val="superscript"/>
                <w:lang w:val="uk-UA"/>
              </w:rPr>
              <w:t>1</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2023 р.</w:t>
            </w:r>
          </w:p>
        </w:tc>
        <w:tc>
          <w:tcPr>
            <w:tcW w:w="1191" w:type="dxa"/>
            <w:tcBorders>
              <w:top w:val="single" w:sz="4" w:space="0" w:color="auto"/>
              <w:left w:val="single" w:sz="4" w:space="0" w:color="auto"/>
            </w:tcBorders>
            <w:shd w:val="clear" w:color="auto" w:fill="FFFFFF"/>
            <w:vAlign w:val="bottom"/>
          </w:tcPr>
          <w:p w:rsidR="00295C72" w:rsidRPr="0010609F" w:rsidRDefault="00295C72" w:rsidP="009C5078">
            <w:pPr>
              <w:pStyle w:val="afe"/>
              <w:ind w:left="99"/>
              <w:jc w:val="center"/>
              <w:rPr>
                <w:b/>
                <w:color w:val="auto"/>
                <w:vertAlign w:val="superscript"/>
                <w:lang w:val="uk-UA"/>
              </w:rPr>
            </w:pPr>
            <w:r w:rsidRPr="006E698E">
              <w:rPr>
                <w:b/>
                <w:color w:val="auto"/>
                <w:lang w:val="uk-UA"/>
              </w:rPr>
              <w:t>2024 р</w:t>
            </w:r>
            <w:r w:rsidR="009C5078">
              <w:rPr>
                <w:b/>
                <w:color w:val="auto"/>
                <w:lang w:val="uk-UA"/>
              </w:rPr>
              <w:t>.</w:t>
            </w:r>
            <w:r w:rsidR="009C5078" w:rsidRPr="00864421">
              <w:rPr>
                <w:b/>
                <w:color w:val="auto"/>
                <w:vertAlign w:val="superscript"/>
                <w:lang w:val="uk-UA"/>
              </w:rPr>
              <w:t>2</w:t>
            </w:r>
          </w:p>
        </w:tc>
        <w:tc>
          <w:tcPr>
            <w:tcW w:w="1191" w:type="dxa"/>
            <w:tcBorders>
              <w:top w:val="single" w:sz="4" w:space="0" w:color="auto"/>
              <w:left w:val="single" w:sz="4" w:space="0" w:color="auto"/>
              <w:righ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2025 р.</w:t>
            </w:r>
          </w:p>
        </w:tc>
      </w:tr>
      <w:tr w:rsidR="0079254C" w:rsidRPr="006E698E" w:rsidTr="0079254C">
        <w:trPr>
          <w:trHeight w:hRule="exact" w:val="270"/>
        </w:trPr>
        <w:tc>
          <w:tcPr>
            <w:tcW w:w="9072" w:type="dxa"/>
            <w:gridSpan w:val="6"/>
            <w:tcBorders>
              <w:top w:val="single" w:sz="4" w:space="0" w:color="auto"/>
              <w:left w:val="single" w:sz="4" w:space="0" w:color="auto"/>
              <w:right w:val="single" w:sz="4" w:space="0" w:color="auto"/>
            </w:tcBorders>
            <w:shd w:val="clear" w:color="auto" w:fill="FFFFFF"/>
            <w:vAlign w:val="center"/>
          </w:tcPr>
          <w:p w:rsidR="00295C72" w:rsidRPr="006E698E" w:rsidRDefault="006F4AC6" w:rsidP="00CC7F26">
            <w:pPr>
              <w:ind w:left="99"/>
              <w:jc w:val="center"/>
              <w:rPr>
                <w:sz w:val="20"/>
                <w:szCs w:val="20"/>
              </w:rPr>
            </w:pPr>
            <w:r w:rsidRPr="006E698E">
              <w:rPr>
                <w:b/>
                <w:bCs/>
                <w:i/>
                <w:iCs/>
                <w:sz w:val="20"/>
                <w:szCs w:val="20"/>
              </w:rPr>
              <w:t>В</w:t>
            </w:r>
            <w:r w:rsidR="00295C72" w:rsidRPr="006E698E">
              <w:rPr>
                <w:b/>
                <w:bCs/>
                <w:i/>
                <w:iCs/>
                <w:sz w:val="20"/>
                <w:szCs w:val="20"/>
              </w:rPr>
              <w:t xml:space="preserve">сього </w:t>
            </w:r>
            <w:r w:rsidR="00CC7F26">
              <w:rPr>
                <w:b/>
                <w:bCs/>
                <w:i/>
                <w:iCs/>
                <w:sz w:val="20"/>
                <w:szCs w:val="20"/>
              </w:rPr>
              <w:t>за</w:t>
            </w:r>
            <w:r w:rsidR="00CC7F26" w:rsidRPr="006E698E">
              <w:rPr>
                <w:b/>
                <w:bCs/>
                <w:i/>
                <w:iCs/>
                <w:sz w:val="20"/>
                <w:szCs w:val="20"/>
              </w:rPr>
              <w:t xml:space="preserve"> </w:t>
            </w:r>
            <w:r w:rsidR="00295C72" w:rsidRPr="006E698E">
              <w:rPr>
                <w:b/>
                <w:bCs/>
                <w:i/>
                <w:iCs/>
                <w:sz w:val="20"/>
                <w:szCs w:val="20"/>
              </w:rPr>
              <w:t>Програм</w:t>
            </w:r>
            <w:r w:rsidR="00CC7F26">
              <w:rPr>
                <w:b/>
                <w:bCs/>
                <w:i/>
                <w:iCs/>
                <w:sz w:val="20"/>
                <w:szCs w:val="20"/>
              </w:rPr>
              <w:t>ою</w:t>
            </w:r>
            <w:r w:rsidR="00295C72" w:rsidRPr="006E698E">
              <w:rPr>
                <w:b/>
                <w:bCs/>
                <w:i/>
                <w:iCs/>
                <w:sz w:val="20"/>
                <w:szCs w:val="20"/>
              </w:rPr>
              <w:t xml:space="preserve"> 1</w:t>
            </w:r>
            <w:r w:rsidR="00295C72" w:rsidRPr="006E698E">
              <w:rPr>
                <w:b/>
                <w:bCs/>
                <w:i/>
                <w:iCs/>
              </w:rPr>
              <w:t xml:space="preserve"> </w:t>
            </w:r>
            <w:r w:rsidR="00CC7F26">
              <w:rPr>
                <w:b/>
                <w:bCs/>
                <w:i/>
                <w:iCs/>
                <w:sz w:val="20"/>
                <w:szCs w:val="20"/>
              </w:rPr>
              <w:t>–</w:t>
            </w:r>
            <w:r w:rsidR="00295C72" w:rsidRPr="006E698E">
              <w:rPr>
                <w:b/>
                <w:bCs/>
                <w:i/>
                <w:iCs/>
              </w:rPr>
              <w:t xml:space="preserve"> </w:t>
            </w:r>
            <w:r w:rsidR="00295C72" w:rsidRPr="006E698E">
              <w:rPr>
                <w:b/>
                <w:bCs/>
                <w:i/>
                <w:iCs/>
                <w:sz w:val="20"/>
                <w:szCs w:val="20"/>
              </w:rPr>
              <w:t>88 200 тис. грн</w:t>
            </w:r>
          </w:p>
        </w:tc>
      </w:tr>
      <w:tr w:rsidR="0079254C" w:rsidRPr="006E698E" w:rsidTr="0079254C">
        <w:trPr>
          <w:trHeight w:hRule="exact" w:val="289"/>
        </w:trPr>
        <w:tc>
          <w:tcPr>
            <w:tcW w:w="3119" w:type="dxa"/>
            <w:tcBorders>
              <w:top w:val="single" w:sz="4" w:space="0" w:color="auto"/>
              <w:left w:val="single" w:sz="4" w:space="0" w:color="auto"/>
            </w:tcBorders>
            <w:shd w:val="clear" w:color="auto" w:fill="FFFFFF"/>
            <w:vAlign w:val="bottom"/>
          </w:tcPr>
          <w:p w:rsidR="00295C72" w:rsidRPr="006E698E" w:rsidRDefault="00295C72" w:rsidP="00295C72">
            <w:pPr>
              <w:pStyle w:val="afe"/>
              <w:ind w:hanging="17"/>
              <w:jc w:val="center"/>
              <w:rPr>
                <w:color w:val="auto"/>
                <w:lang w:val="uk-UA"/>
              </w:rPr>
            </w:pPr>
            <w:r w:rsidRPr="006E698E">
              <w:rPr>
                <w:b/>
                <w:bCs/>
                <w:i/>
                <w:iCs/>
                <w:color w:val="auto"/>
                <w:lang w:val="uk-UA"/>
              </w:rPr>
              <w:t>Програма 1, всього:</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27 000,00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28 800,00</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32 400,00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0,00</w:t>
            </w:r>
          </w:p>
        </w:tc>
        <w:tc>
          <w:tcPr>
            <w:tcW w:w="1191" w:type="dxa"/>
            <w:tcBorders>
              <w:top w:val="single" w:sz="4" w:space="0" w:color="auto"/>
              <w:left w:val="single" w:sz="4" w:space="0" w:color="auto"/>
              <w:righ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0,00</w:t>
            </w:r>
          </w:p>
        </w:tc>
      </w:tr>
      <w:tr w:rsidR="0079254C" w:rsidRPr="006E698E" w:rsidTr="0079254C">
        <w:trPr>
          <w:trHeight w:hRule="exact" w:val="451"/>
        </w:trPr>
        <w:tc>
          <w:tcPr>
            <w:tcW w:w="3119" w:type="dxa"/>
            <w:tcBorders>
              <w:top w:val="single" w:sz="4" w:space="0" w:color="auto"/>
              <w:left w:val="single" w:sz="4" w:space="0" w:color="auto"/>
            </w:tcBorders>
            <w:shd w:val="clear" w:color="auto" w:fill="FFFFFF"/>
            <w:vAlign w:val="bottom"/>
          </w:tcPr>
          <w:p w:rsidR="00295C72" w:rsidRPr="006E698E" w:rsidRDefault="00295C72" w:rsidP="00295C72">
            <w:pPr>
              <w:pStyle w:val="afe"/>
              <w:ind w:hanging="17"/>
              <w:jc w:val="center"/>
              <w:rPr>
                <w:color w:val="auto"/>
                <w:lang w:val="uk-UA"/>
              </w:rPr>
            </w:pPr>
            <w:r w:rsidRPr="006E698E">
              <w:rPr>
                <w:color w:val="auto"/>
                <w:lang w:val="uk-UA"/>
              </w:rPr>
              <w:t>з них на фонд заробітної плати та податків</w:t>
            </w:r>
          </w:p>
        </w:tc>
        <w:tc>
          <w:tcPr>
            <w:tcW w:w="1190" w:type="dxa"/>
            <w:tcBorders>
              <w:top w:val="single" w:sz="4" w:space="0" w:color="auto"/>
              <w:left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22 157,00</w:t>
            </w:r>
          </w:p>
        </w:tc>
        <w:tc>
          <w:tcPr>
            <w:tcW w:w="1191" w:type="dxa"/>
            <w:tcBorders>
              <w:top w:val="single" w:sz="4" w:space="0" w:color="auto"/>
              <w:left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25 824,80</w:t>
            </w:r>
          </w:p>
        </w:tc>
        <w:tc>
          <w:tcPr>
            <w:tcW w:w="1190" w:type="dxa"/>
            <w:tcBorders>
              <w:top w:val="single" w:sz="4" w:space="0" w:color="auto"/>
              <w:left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28 149,20</w:t>
            </w:r>
          </w:p>
        </w:tc>
        <w:tc>
          <w:tcPr>
            <w:tcW w:w="1191" w:type="dxa"/>
            <w:tcBorders>
              <w:top w:val="single" w:sz="4" w:space="0" w:color="auto"/>
              <w:left w:val="single" w:sz="4" w:space="0" w:color="auto"/>
            </w:tcBorders>
            <w:shd w:val="clear" w:color="auto" w:fill="FFFFFF"/>
            <w:vAlign w:val="center"/>
          </w:tcPr>
          <w:p w:rsidR="00295C72" w:rsidRPr="006E698E" w:rsidRDefault="00295C72" w:rsidP="00295C72">
            <w:pPr>
              <w:ind w:left="99"/>
              <w:jc w:val="center"/>
              <w:rPr>
                <w:sz w:val="20"/>
                <w:szCs w:val="20"/>
              </w:rPr>
            </w:pPr>
            <w:r w:rsidRPr="006E698E">
              <w:rPr>
                <w:sz w:val="20"/>
                <w:szCs w:val="20"/>
              </w:rPr>
              <w:t>-</w:t>
            </w:r>
          </w:p>
        </w:tc>
        <w:tc>
          <w:tcPr>
            <w:tcW w:w="1191"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ind w:left="99"/>
              <w:jc w:val="center"/>
              <w:rPr>
                <w:sz w:val="20"/>
                <w:szCs w:val="20"/>
              </w:rPr>
            </w:pPr>
            <w:r w:rsidRPr="006E698E">
              <w:rPr>
                <w:sz w:val="20"/>
                <w:szCs w:val="20"/>
              </w:rPr>
              <w:t>-</w:t>
            </w:r>
          </w:p>
        </w:tc>
      </w:tr>
      <w:tr w:rsidR="0079254C" w:rsidRPr="006E698E" w:rsidTr="0079254C">
        <w:trPr>
          <w:trHeight w:hRule="exact" w:val="431"/>
        </w:trPr>
        <w:tc>
          <w:tcPr>
            <w:tcW w:w="3119" w:type="dxa"/>
            <w:tcBorders>
              <w:top w:val="single" w:sz="4" w:space="0" w:color="auto"/>
              <w:left w:val="single" w:sz="4" w:space="0" w:color="auto"/>
            </w:tcBorders>
            <w:shd w:val="clear" w:color="auto" w:fill="FFFFFF"/>
            <w:vAlign w:val="bottom"/>
          </w:tcPr>
          <w:p w:rsidR="00295C72" w:rsidRPr="006E698E" w:rsidRDefault="00295C72" w:rsidP="00295C72">
            <w:pPr>
              <w:pStyle w:val="afe"/>
              <w:ind w:hanging="17"/>
              <w:jc w:val="center"/>
              <w:rPr>
                <w:color w:val="auto"/>
                <w:lang w:val="uk-UA"/>
              </w:rPr>
            </w:pPr>
            <w:r w:rsidRPr="006E698E">
              <w:rPr>
                <w:color w:val="auto"/>
                <w:lang w:val="uk-UA"/>
              </w:rPr>
              <w:t>часткова сплата рахунків за електроенергію</w:t>
            </w:r>
          </w:p>
        </w:tc>
        <w:tc>
          <w:tcPr>
            <w:tcW w:w="1190" w:type="dxa"/>
            <w:tcBorders>
              <w:top w:val="single" w:sz="4" w:space="0" w:color="auto"/>
              <w:left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4 843,00</w:t>
            </w:r>
          </w:p>
        </w:tc>
        <w:tc>
          <w:tcPr>
            <w:tcW w:w="1191" w:type="dxa"/>
            <w:tcBorders>
              <w:top w:val="single" w:sz="4" w:space="0" w:color="auto"/>
              <w:left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2 975,20</w:t>
            </w:r>
          </w:p>
        </w:tc>
        <w:tc>
          <w:tcPr>
            <w:tcW w:w="1190" w:type="dxa"/>
            <w:tcBorders>
              <w:top w:val="single" w:sz="4" w:space="0" w:color="auto"/>
              <w:left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4 250,80</w:t>
            </w:r>
          </w:p>
        </w:tc>
        <w:tc>
          <w:tcPr>
            <w:tcW w:w="1191" w:type="dxa"/>
            <w:tcBorders>
              <w:top w:val="single" w:sz="4" w:space="0" w:color="auto"/>
              <w:left w:val="single" w:sz="4" w:space="0" w:color="auto"/>
            </w:tcBorders>
            <w:shd w:val="clear" w:color="auto" w:fill="FFFFFF"/>
            <w:vAlign w:val="center"/>
          </w:tcPr>
          <w:p w:rsidR="00295C72" w:rsidRPr="006E698E" w:rsidRDefault="00295C72" w:rsidP="00295C72">
            <w:pPr>
              <w:ind w:left="99"/>
              <w:jc w:val="center"/>
              <w:rPr>
                <w:sz w:val="20"/>
                <w:szCs w:val="20"/>
              </w:rPr>
            </w:pPr>
            <w:r w:rsidRPr="006E698E">
              <w:rPr>
                <w:sz w:val="20"/>
                <w:szCs w:val="20"/>
              </w:rPr>
              <w:t>-</w:t>
            </w:r>
          </w:p>
        </w:tc>
        <w:tc>
          <w:tcPr>
            <w:tcW w:w="1191"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ind w:left="99"/>
              <w:jc w:val="center"/>
              <w:rPr>
                <w:sz w:val="20"/>
                <w:szCs w:val="20"/>
              </w:rPr>
            </w:pPr>
            <w:r w:rsidRPr="006E698E">
              <w:rPr>
                <w:sz w:val="20"/>
                <w:szCs w:val="20"/>
              </w:rPr>
              <w:t>-</w:t>
            </w:r>
          </w:p>
        </w:tc>
      </w:tr>
      <w:tr w:rsidR="0079254C" w:rsidRPr="006E698E" w:rsidTr="0079254C">
        <w:trPr>
          <w:trHeight w:hRule="exact" w:val="279"/>
        </w:trPr>
        <w:tc>
          <w:tcPr>
            <w:tcW w:w="9072" w:type="dxa"/>
            <w:gridSpan w:val="6"/>
            <w:tcBorders>
              <w:top w:val="single" w:sz="4" w:space="0" w:color="auto"/>
              <w:left w:val="single" w:sz="4" w:space="0" w:color="auto"/>
              <w:right w:val="single" w:sz="4" w:space="0" w:color="auto"/>
            </w:tcBorders>
            <w:shd w:val="clear" w:color="auto" w:fill="FFFFFF"/>
            <w:vAlign w:val="bottom"/>
          </w:tcPr>
          <w:p w:rsidR="00295C72" w:rsidRPr="006E698E" w:rsidRDefault="00295C72" w:rsidP="00CC7F26">
            <w:pPr>
              <w:pStyle w:val="afe"/>
              <w:ind w:hanging="17"/>
              <w:jc w:val="center"/>
              <w:rPr>
                <w:color w:val="auto"/>
                <w:lang w:val="uk-UA"/>
              </w:rPr>
            </w:pPr>
            <w:r w:rsidRPr="006E698E">
              <w:rPr>
                <w:b/>
                <w:bCs/>
                <w:i/>
                <w:iCs/>
                <w:color w:val="auto"/>
                <w:lang w:val="uk-UA"/>
              </w:rPr>
              <w:t xml:space="preserve">Всього </w:t>
            </w:r>
            <w:r w:rsidR="00CC7F26">
              <w:rPr>
                <w:b/>
                <w:bCs/>
                <w:i/>
                <w:iCs/>
                <w:color w:val="auto"/>
                <w:lang w:val="uk-UA"/>
              </w:rPr>
              <w:t>за</w:t>
            </w:r>
            <w:r w:rsidRPr="006E698E">
              <w:rPr>
                <w:b/>
                <w:bCs/>
                <w:i/>
                <w:iCs/>
                <w:color w:val="auto"/>
                <w:lang w:val="uk-UA"/>
              </w:rPr>
              <w:t xml:space="preserve"> </w:t>
            </w:r>
            <w:r w:rsidR="0079254C" w:rsidRPr="006E698E">
              <w:rPr>
                <w:rFonts w:eastAsiaTheme="minorHAnsi"/>
                <w:b/>
                <w:i/>
                <w:color w:val="auto"/>
                <w:lang w:val="uk-UA"/>
              </w:rPr>
              <w:t>Програм</w:t>
            </w:r>
            <w:r w:rsidR="00CC7F26">
              <w:rPr>
                <w:rFonts w:eastAsiaTheme="minorHAnsi"/>
                <w:b/>
                <w:i/>
                <w:color w:val="auto"/>
                <w:lang w:val="uk-UA"/>
              </w:rPr>
              <w:t>ою</w:t>
            </w:r>
            <w:r w:rsidR="0079254C" w:rsidRPr="006E698E">
              <w:rPr>
                <w:rFonts w:eastAsiaTheme="minorHAnsi"/>
                <w:b/>
                <w:i/>
                <w:color w:val="auto"/>
                <w:lang w:val="uk-UA"/>
              </w:rPr>
              <w:t xml:space="preserve"> 2</w:t>
            </w:r>
            <w:r w:rsidRPr="006E698E">
              <w:rPr>
                <w:b/>
                <w:bCs/>
                <w:i/>
                <w:iCs/>
                <w:color w:val="auto"/>
                <w:lang w:val="uk-UA"/>
              </w:rPr>
              <w:t xml:space="preserve"> </w:t>
            </w:r>
            <w:r w:rsidR="00CC7F26">
              <w:rPr>
                <w:b/>
                <w:bCs/>
                <w:i/>
                <w:iCs/>
                <w:color w:val="auto"/>
                <w:lang w:val="uk-UA"/>
              </w:rPr>
              <w:t>–</w:t>
            </w:r>
            <w:r w:rsidRPr="006E698E">
              <w:rPr>
                <w:b/>
                <w:bCs/>
                <w:i/>
                <w:iCs/>
                <w:color w:val="auto"/>
                <w:lang w:val="uk-UA"/>
              </w:rPr>
              <w:t xml:space="preserve"> 10 953,5 тис. грн</w:t>
            </w:r>
          </w:p>
        </w:tc>
      </w:tr>
      <w:tr w:rsidR="0079254C" w:rsidRPr="006E698E" w:rsidTr="0079254C">
        <w:trPr>
          <w:trHeight w:hRule="exact" w:val="216"/>
        </w:trPr>
        <w:tc>
          <w:tcPr>
            <w:tcW w:w="3119" w:type="dxa"/>
            <w:tcBorders>
              <w:top w:val="single" w:sz="4" w:space="0" w:color="auto"/>
              <w:left w:val="single" w:sz="4" w:space="0" w:color="auto"/>
            </w:tcBorders>
            <w:shd w:val="clear" w:color="auto" w:fill="FFFFFF"/>
            <w:vAlign w:val="bottom"/>
          </w:tcPr>
          <w:p w:rsidR="00295C72" w:rsidRPr="006E698E" w:rsidRDefault="000546AD" w:rsidP="000546AD">
            <w:pPr>
              <w:pStyle w:val="afe"/>
              <w:ind w:hanging="17"/>
              <w:jc w:val="center"/>
              <w:rPr>
                <w:color w:val="auto"/>
                <w:lang w:val="uk-UA"/>
              </w:rPr>
            </w:pPr>
            <w:r w:rsidRPr="006E698E">
              <w:rPr>
                <w:b/>
                <w:bCs/>
                <w:i/>
                <w:iCs/>
                <w:color w:val="auto"/>
                <w:lang w:val="uk-UA"/>
              </w:rPr>
              <w:t>Програма 2</w:t>
            </w:r>
            <w:r w:rsidR="00295C72" w:rsidRPr="006E698E">
              <w:rPr>
                <w:b/>
                <w:bCs/>
                <w:i/>
                <w:iCs/>
                <w:color w:val="auto"/>
                <w:lang w:val="uk-UA"/>
              </w:rPr>
              <w:t>, всього:</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3 497,40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3 706,50</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1 100,40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2 649,20</w:t>
            </w:r>
          </w:p>
        </w:tc>
        <w:tc>
          <w:tcPr>
            <w:tcW w:w="1191" w:type="dxa"/>
            <w:tcBorders>
              <w:top w:val="single" w:sz="4" w:space="0" w:color="auto"/>
              <w:left w:val="single" w:sz="4" w:space="0" w:color="auto"/>
              <w:right w:val="single" w:sz="4" w:space="0" w:color="auto"/>
            </w:tcBorders>
            <w:shd w:val="clear" w:color="auto" w:fill="FFFFFF"/>
            <w:vAlign w:val="bottom"/>
          </w:tcPr>
          <w:p w:rsidR="00295C72" w:rsidRPr="006E698E" w:rsidRDefault="00295C72" w:rsidP="00295C72">
            <w:pPr>
              <w:pStyle w:val="afe"/>
              <w:ind w:left="99"/>
              <w:jc w:val="center"/>
              <w:rPr>
                <w:b/>
                <w:color w:val="auto"/>
                <w:lang w:val="uk-UA"/>
              </w:rPr>
            </w:pPr>
            <w:r w:rsidRPr="006E698E">
              <w:rPr>
                <w:b/>
                <w:color w:val="auto"/>
                <w:lang w:val="uk-UA"/>
              </w:rPr>
              <w:t>0,00</w:t>
            </w:r>
          </w:p>
        </w:tc>
      </w:tr>
      <w:tr w:rsidR="0079254C" w:rsidRPr="006E698E" w:rsidTr="0079254C">
        <w:trPr>
          <w:trHeight w:hRule="exact" w:val="273"/>
        </w:trPr>
        <w:tc>
          <w:tcPr>
            <w:tcW w:w="3119" w:type="dxa"/>
            <w:tcBorders>
              <w:top w:val="single" w:sz="4" w:space="0" w:color="auto"/>
              <w:left w:val="single" w:sz="4" w:space="0" w:color="auto"/>
            </w:tcBorders>
            <w:shd w:val="clear" w:color="auto" w:fill="FFFFFF"/>
            <w:vAlign w:val="bottom"/>
          </w:tcPr>
          <w:p w:rsidR="00295C72" w:rsidRPr="006E698E" w:rsidRDefault="00295C72" w:rsidP="00295C72">
            <w:pPr>
              <w:pStyle w:val="afe"/>
              <w:ind w:hanging="17"/>
              <w:jc w:val="center"/>
              <w:rPr>
                <w:color w:val="auto"/>
                <w:lang w:val="uk-UA"/>
              </w:rPr>
            </w:pPr>
            <w:r w:rsidRPr="006E698E">
              <w:rPr>
                <w:color w:val="auto"/>
                <w:lang w:val="uk-UA"/>
              </w:rPr>
              <w:t>матеріали</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620,00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646,00</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354,90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700,00</w:t>
            </w:r>
          </w:p>
        </w:tc>
        <w:tc>
          <w:tcPr>
            <w:tcW w:w="1191" w:type="dxa"/>
            <w:tcBorders>
              <w:top w:val="single" w:sz="4" w:space="0" w:color="auto"/>
              <w:left w:val="single" w:sz="4" w:space="0" w:color="auto"/>
              <w:right w:val="single" w:sz="4" w:space="0" w:color="auto"/>
            </w:tcBorders>
            <w:shd w:val="clear" w:color="auto" w:fill="FFFFFF"/>
          </w:tcPr>
          <w:p w:rsidR="00295C72" w:rsidRPr="006E698E" w:rsidRDefault="00295C72" w:rsidP="00295C72">
            <w:pPr>
              <w:ind w:left="99"/>
              <w:jc w:val="center"/>
              <w:rPr>
                <w:sz w:val="20"/>
                <w:szCs w:val="20"/>
              </w:rPr>
            </w:pPr>
            <w:r w:rsidRPr="006E698E">
              <w:rPr>
                <w:sz w:val="20"/>
                <w:szCs w:val="20"/>
              </w:rPr>
              <w:t>-</w:t>
            </w:r>
          </w:p>
        </w:tc>
      </w:tr>
      <w:tr w:rsidR="0079254C" w:rsidRPr="006E698E" w:rsidTr="0079254C">
        <w:trPr>
          <w:trHeight w:hRule="exact" w:val="292"/>
        </w:trPr>
        <w:tc>
          <w:tcPr>
            <w:tcW w:w="3119" w:type="dxa"/>
            <w:tcBorders>
              <w:top w:val="single" w:sz="4" w:space="0" w:color="auto"/>
              <w:left w:val="single" w:sz="4" w:space="0" w:color="auto"/>
            </w:tcBorders>
            <w:shd w:val="clear" w:color="auto" w:fill="FFFFFF"/>
            <w:vAlign w:val="bottom"/>
          </w:tcPr>
          <w:p w:rsidR="00295C72" w:rsidRPr="006E698E" w:rsidRDefault="00295C72" w:rsidP="00295C72">
            <w:pPr>
              <w:pStyle w:val="afe"/>
              <w:ind w:hanging="17"/>
              <w:jc w:val="center"/>
              <w:rPr>
                <w:color w:val="auto"/>
                <w:lang w:val="uk-UA"/>
              </w:rPr>
            </w:pPr>
            <w:r w:rsidRPr="006E698E">
              <w:rPr>
                <w:color w:val="auto"/>
                <w:lang w:val="uk-UA"/>
              </w:rPr>
              <w:t>запасні частини</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680,00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710,00</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745,50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650,00</w:t>
            </w:r>
          </w:p>
        </w:tc>
        <w:tc>
          <w:tcPr>
            <w:tcW w:w="1191" w:type="dxa"/>
            <w:tcBorders>
              <w:top w:val="single" w:sz="4" w:space="0" w:color="auto"/>
              <w:left w:val="single" w:sz="4" w:space="0" w:color="auto"/>
              <w:right w:val="single" w:sz="4" w:space="0" w:color="auto"/>
            </w:tcBorders>
            <w:shd w:val="clear" w:color="auto" w:fill="FFFFFF"/>
          </w:tcPr>
          <w:p w:rsidR="00295C72" w:rsidRPr="006E698E" w:rsidRDefault="00295C72" w:rsidP="00295C72">
            <w:pPr>
              <w:ind w:left="99"/>
              <w:jc w:val="center"/>
              <w:rPr>
                <w:sz w:val="20"/>
                <w:szCs w:val="20"/>
              </w:rPr>
            </w:pPr>
            <w:r w:rsidRPr="006E698E">
              <w:rPr>
                <w:sz w:val="20"/>
                <w:szCs w:val="20"/>
              </w:rPr>
              <w:t>-</w:t>
            </w:r>
          </w:p>
        </w:tc>
      </w:tr>
      <w:tr w:rsidR="0079254C" w:rsidRPr="006E698E" w:rsidTr="0079254C">
        <w:trPr>
          <w:trHeight w:hRule="exact" w:val="284"/>
        </w:trPr>
        <w:tc>
          <w:tcPr>
            <w:tcW w:w="3119" w:type="dxa"/>
            <w:tcBorders>
              <w:top w:val="single" w:sz="4" w:space="0" w:color="auto"/>
              <w:left w:val="single" w:sz="4" w:space="0" w:color="auto"/>
            </w:tcBorders>
            <w:shd w:val="clear" w:color="auto" w:fill="FFFFFF"/>
            <w:vAlign w:val="bottom"/>
          </w:tcPr>
          <w:p w:rsidR="00295C72" w:rsidRPr="006E698E" w:rsidRDefault="00295C72" w:rsidP="00295C72">
            <w:pPr>
              <w:pStyle w:val="afe"/>
              <w:ind w:hanging="17"/>
              <w:jc w:val="center"/>
              <w:rPr>
                <w:color w:val="auto"/>
                <w:lang w:val="uk-UA"/>
              </w:rPr>
            </w:pPr>
            <w:r w:rsidRPr="006E698E">
              <w:rPr>
                <w:color w:val="auto"/>
                <w:lang w:val="uk-UA"/>
              </w:rPr>
              <w:t>автогума</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400,00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440,00</w:t>
            </w:r>
          </w:p>
        </w:tc>
        <w:tc>
          <w:tcPr>
            <w:tcW w:w="1190" w:type="dxa"/>
            <w:tcBorders>
              <w:top w:val="single" w:sz="4" w:space="0" w:color="auto"/>
              <w:left w:val="single" w:sz="4" w:space="0" w:color="auto"/>
            </w:tcBorders>
            <w:shd w:val="clear" w:color="auto" w:fill="FFFFFF"/>
          </w:tcPr>
          <w:p w:rsidR="00295C72" w:rsidRPr="006E698E" w:rsidRDefault="00295C72" w:rsidP="00295C72">
            <w:pPr>
              <w:ind w:left="99"/>
              <w:jc w:val="center"/>
              <w:rPr>
                <w:sz w:val="20"/>
                <w:szCs w:val="20"/>
              </w:rPr>
            </w:pPr>
            <w:r w:rsidRPr="006E698E">
              <w:rPr>
                <w:sz w:val="20"/>
                <w:szCs w:val="20"/>
              </w:rPr>
              <w:t>-</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486,00</w:t>
            </w:r>
          </w:p>
        </w:tc>
        <w:tc>
          <w:tcPr>
            <w:tcW w:w="1191" w:type="dxa"/>
            <w:tcBorders>
              <w:top w:val="single" w:sz="4" w:space="0" w:color="auto"/>
              <w:left w:val="single" w:sz="4" w:space="0" w:color="auto"/>
              <w:right w:val="single" w:sz="4" w:space="0" w:color="auto"/>
            </w:tcBorders>
            <w:shd w:val="clear" w:color="auto" w:fill="FFFFFF"/>
          </w:tcPr>
          <w:p w:rsidR="00295C72" w:rsidRPr="006E698E" w:rsidRDefault="00295C72" w:rsidP="00295C72">
            <w:pPr>
              <w:ind w:left="99"/>
              <w:jc w:val="center"/>
              <w:rPr>
                <w:sz w:val="20"/>
                <w:szCs w:val="20"/>
              </w:rPr>
            </w:pPr>
            <w:r w:rsidRPr="006E698E">
              <w:rPr>
                <w:sz w:val="20"/>
                <w:szCs w:val="20"/>
              </w:rPr>
              <w:t>-</w:t>
            </w:r>
          </w:p>
        </w:tc>
      </w:tr>
      <w:tr w:rsidR="0079254C" w:rsidRPr="006E698E" w:rsidTr="0079254C">
        <w:trPr>
          <w:trHeight w:hRule="exact" w:val="272"/>
        </w:trPr>
        <w:tc>
          <w:tcPr>
            <w:tcW w:w="3119" w:type="dxa"/>
            <w:tcBorders>
              <w:top w:val="single" w:sz="4" w:space="0" w:color="auto"/>
              <w:left w:val="single" w:sz="4" w:space="0" w:color="auto"/>
            </w:tcBorders>
            <w:shd w:val="clear" w:color="auto" w:fill="FFFFFF"/>
            <w:vAlign w:val="bottom"/>
          </w:tcPr>
          <w:p w:rsidR="00295C72" w:rsidRPr="006E698E" w:rsidRDefault="00295C72" w:rsidP="00295C72">
            <w:pPr>
              <w:pStyle w:val="afe"/>
              <w:ind w:hanging="17"/>
              <w:jc w:val="center"/>
              <w:rPr>
                <w:color w:val="auto"/>
                <w:lang w:val="uk-UA"/>
              </w:rPr>
            </w:pPr>
            <w:r w:rsidRPr="006E698E">
              <w:rPr>
                <w:color w:val="auto"/>
                <w:lang w:val="uk-UA"/>
              </w:rPr>
              <w:t>пально-мастильні матеріали</w:t>
            </w:r>
          </w:p>
        </w:tc>
        <w:tc>
          <w:tcPr>
            <w:tcW w:w="1190"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240,00</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252,00</w:t>
            </w:r>
          </w:p>
        </w:tc>
        <w:tc>
          <w:tcPr>
            <w:tcW w:w="1190" w:type="dxa"/>
            <w:tcBorders>
              <w:top w:val="single" w:sz="4" w:space="0" w:color="auto"/>
              <w:left w:val="single" w:sz="4" w:space="0" w:color="auto"/>
            </w:tcBorders>
            <w:shd w:val="clear" w:color="auto" w:fill="FFFFFF"/>
          </w:tcPr>
          <w:p w:rsidR="00295C72" w:rsidRPr="006E698E" w:rsidRDefault="00295C72" w:rsidP="00295C72">
            <w:pPr>
              <w:ind w:left="99"/>
              <w:jc w:val="center"/>
              <w:rPr>
                <w:sz w:val="20"/>
                <w:szCs w:val="20"/>
              </w:rPr>
            </w:pPr>
            <w:r w:rsidRPr="006E698E">
              <w:rPr>
                <w:sz w:val="20"/>
                <w:szCs w:val="20"/>
              </w:rPr>
              <w:t>-</w:t>
            </w:r>
          </w:p>
        </w:tc>
        <w:tc>
          <w:tcPr>
            <w:tcW w:w="1191" w:type="dxa"/>
            <w:tcBorders>
              <w:top w:val="single" w:sz="4" w:space="0" w:color="auto"/>
              <w:left w:val="single" w:sz="4" w:space="0" w:color="auto"/>
            </w:tcBorders>
            <w:shd w:val="clear" w:color="auto" w:fill="FFFFFF"/>
            <w:vAlign w:val="bottom"/>
          </w:tcPr>
          <w:p w:rsidR="00295C72" w:rsidRPr="006E698E" w:rsidRDefault="00295C72" w:rsidP="00295C72">
            <w:pPr>
              <w:pStyle w:val="afe"/>
              <w:ind w:left="99"/>
              <w:jc w:val="center"/>
              <w:rPr>
                <w:color w:val="auto"/>
                <w:lang w:val="uk-UA"/>
              </w:rPr>
            </w:pPr>
            <w:r w:rsidRPr="006E698E">
              <w:rPr>
                <w:color w:val="auto"/>
                <w:lang w:val="uk-UA"/>
              </w:rPr>
              <w:t>278,00</w:t>
            </w:r>
          </w:p>
        </w:tc>
        <w:tc>
          <w:tcPr>
            <w:tcW w:w="1191" w:type="dxa"/>
            <w:tcBorders>
              <w:top w:val="single" w:sz="4" w:space="0" w:color="auto"/>
              <w:left w:val="single" w:sz="4" w:space="0" w:color="auto"/>
              <w:right w:val="single" w:sz="4" w:space="0" w:color="auto"/>
            </w:tcBorders>
            <w:shd w:val="clear" w:color="auto" w:fill="FFFFFF"/>
          </w:tcPr>
          <w:p w:rsidR="00295C72" w:rsidRPr="006E698E" w:rsidRDefault="00295C72" w:rsidP="00295C72">
            <w:pPr>
              <w:ind w:left="99"/>
              <w:jc w:val="center"/>
              <w:rPr>
                <w:sz w:val="20"/>
                <w:szCs w:val="20"/>
              </w:rPr>
            </w:pPr>
            <w:r w:rsidRPr="006E698E">
              <w:rPr>
                <w:sz w:val="20"/>
                <w:szCs w:val="20"/>
              </w:rPr>
              <w:t>-</w:t>
            </w:r>
          </w:p>
        </w:tc>
      </w:tr>
      <w:tr w:rsidR="0079254C" w:rsidRPr="006E698E" w:rsidTr="0079254C">
        <w:trPr>
          <w:trHeight w:hRule="exact" w:val="447"/>
        </w:trPr>
        <w:tc>
          <w:tcPr>
            <w:tcW w:w="3119" w:type="dxa"/>
            <w:tcBorders>
              <w:top w:val="single" w:sz="4" w:space="0" w:color="auto"/>
              <w:left w:val="single" w:sz="4" w:space="0" w:color="auto"/>
              <w:bottom w:val="single" w:sz="4" w:space="0" w:color="auto"/>
            </w:tcBorders>
            <w:shd w:val="clear" w:color="auto" w:fill="FFFFFF"/>
          </w:tcPr>
          <w:p w:rsidR="00295C72" w:rsidRPr="006E698E" w:rsidRDefault="00295C72" w:rsidP="00295C72">
            <w:pPr>
              <w:pStyle w:val="afe"/>
              <w:ind w:hanging="17"/>
              <w:jc w:val="center"/>
              <w:rPr>
                <w:color w:val="auto"/>
                <w:lang w:val="uk-UA"/>
              </w:rPr>
            </w:pPr>
            <w:r w:rsidRPr="006E698E">
              <w:rPr>
                <w:color w:val="auto"/>
                <w:lang w:val="uk-UA"/>
              </w:rPr>
              <w:t>часткова сплата рахунків за електроенергію</w:t>
            </w:r>
          </w:p>
        </w:tc>
        <w:tc>
          <w:tcPr>
            <w:tcW w:w="1190"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1 557,40</w:t>
            </w:r>
          </w:p>
        </w:tc>
        <w:tc>
          <w:tcPr>
            <w:tcW w:w="1191"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1 658,50</w:t>
            </w:r>
          </w:p>
        </w:tc>
        <w:tc>
          <w:tcPr>
            <w:tcW w:w="1190"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ind w:left="99"/>
              <w:jc w:val="center"/>
              <w:rPr>
                <w:sz w:val="20"/>
                <w:szCs w:val="20"/>
              </w:rPr>
            </w:pPr>
            <w:r w:rsidRPr="006E698E">
              <w:rPr>
                <w:sz w:val="20"/>
                <w:szCs w:val="20"/>
              </w:rPr>
              <w:t>-</w:t>
            </w:r>
          </w:p>
        </w:tc>
        <w:tc>
          <w:tcPr>
            <w:tcW w:w="1191"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ind w:left="99"/>
              <w:jc w:val="center"/>
              <w:rPr>
                <w:color w:val="auto"/>
                <w:lang w:val="uk-UA"/>
              </w:rPr>
            </w:pPr>
            <w:r w:rsidRPr="006E698E">
              <w:rPr>
                <w:color w:val="auto"/>
                <w:lang w:val="uk-UA"/>
              </w:rPr>
              <w:t>535,20</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tcPr>
          <w:p w:rsidR="00295C72" w:rsidRPr="006E698E" w:rsidRDefault="00295C72" w:rsidP="00295C72">
            <w:pPr>
              <w:ind w:left="99"/>
              <w:jc w:val="center"/>
              <w:rPr>
                <w:sz w:val="20"/>
                <w:szCs w:val="20"/>
              </w:rPr>
            </w:pPr>
            <w:r w:rsidRPr="006E698E">
              <w:rPr>
                <w:sz w:val="20"/>
                <w:szCs w:val="20"/>
              </w:rPr>
              <w:t>-</w:t>
            </w:r>
          </w:p>
        </w:tc>
      </w:tr>
    </w:tbl>
    <w:p w:rsidR="00295C72" w:rsidRPr="00864421" w:rsidRDefault="00295C72" w:rsidP="00295C72">
      <w:pPr>
        <w:widowControl w:val="0"/>
        <w:spacing w:line="266" w:lineRule="auto"/>
        <w:ind w:left="567"/>
        <w:jc w:val="both"/>
        <w:rPr>
          <w:lang w:bidi="uk-UA"/>
        </w:rPr>
      </w:pPr>
    </w:p>
    <w:p w:rsidR="00295C72" w:rsidRPr="00864421" w:rsidRDefault="009C5078" w:rsidP="00295C72">
      <w:pPr>
        <w:widowControl w:val="0"/>
        <w:spacing w:line="266" w:lineRule="auto"/>
        <w:ind w:left="567"/>
        <w:jc w:val="both"/>
        <w:rPr>
          <w:sz w:val="22"/>
          <w:szCs w:val="22"/>
          <w:lang w:bidi="uk-UA"/>
        </w:rPr>
      </w:pPr>
      <w:r w:rsidRPr="00864421">
        <w:rPr>
          <w:sz w:val="22"/>
          <w:szCs w:val="22"/>
          <w:vertAlign w:val="superscript"/>
          <w:lang w:bidi="uk-UA"/>
        </w:rPr>
        <w:t>1</w:t>
      </w:r>
      <w:r w:rsidR="00301F57" w:rsidRPr="00864421">
        <w:rPr>
          <w:sz w:val="22"/>
          <w:szCs w:val="22"/>
          <w:lang w:bidi="uk-UA"/>
        </w:rPr>
        <w:t>У</w:t>
      </w:r>
      <w:r w:rsidR="00295C72" w:rsidRPr="00864421">
        <w:rPr>
          <w:sz w:val="22"/>
          <w:szCs w:val="22"/>
          <w:lang w:bidi="uk-UA"/>
        </w:rPr>
        <w:t xml:space="preserve"> 2022 році </w:t>
      </w:r>
      <w:r w:rsidR="00E418D9" w:rsidRPr="00864421">
        <w:rPr>
          <w:sz w:val="22"/>
          <w:szCs w:val="22"/>
          <w:lang w:bidi="uk-UA"/>
        </w:rPr>
        <w:t>П</w:t>
      </w:r>
      <w:r w:rsidR="00295C72" w:rsidRPr="00864421">
        <w:rPr>
          <w:sz w:val="22"/>
          <w:szCs w:val="22"/>
          <w:lang w:bidi="uk-UA"/>
        </w:rPr>
        <w:t>ідприємство планує підвищення вартості тарифу з вересня, вартість одноразового квитка буде становити 6 грн.</w:t>
      </w:r>
    </w:p>
    <w:p w:rsidR="00295C72" w:rsidRPr="00864421" w:rsidRDefault="009C5078" w:rsidP="00295C72">
      <w:pPr>
        <w:widowControl w:val="0"/>
        <w:spacing w:line="266" w:lineRule="auto"/>
        <w:ind w:left="567"/>
        <w:jc w:val="both"/>
        <w:rPr>
          <w:sz w:val="22"/>
          <w:szCs w:val="22"/>
          <w:lang w:bidi="uk-UA"/>
        </w:rPr>
      </w:pPr>
      <w:r w:rsidRPr="00864421">
        <w:rPr>
          <w:rFonts w:eastAsia="Courier New"/>
          <w:sz w:val="22"/>
          <w:szCs w:val="22"/>
          <w:vertAlign w:val="superscript"/>
          <w:lang w:bidi="uk-UA"/>
        </w:rPr>
        <w:t>2</w:t>
      </w:r>
      <w:r w:rsidR="00301F57" w:rsidRPr="00864421">
        <w:rPr>
          <w:rFonts w:eastAsia="Courier New"/>
          <w:sz w:val="22"/>
          <w:szCs w:val="22"/>
          <w:lang w:bidi="uk-UA"/>
        </w:rPr>
        <w:t>У</w:t>
      </w:r>
      <w:r w:rsidR="00295C72" w:rsidRPr="00864421">
        <w:rPr>
          <w:rFonts w:eastAsia="Courier New"/>
          <w:sz w:val="22"/>
          <w:szCs w:val="22"/>
          <w:lang w:bidi="uk-UA"/>
        </w:rPr>
        <w:t xml:space="preserve"> 2024 році </w:t>
      </w:r>
      <w:r w:rsidR="00E418D9" w:rsidRPr="00864421">
        <w:rPr>
          <w:rFonts w:eastAsia="Courier New"/>
          <w:sz w:val="22"/>
          <w:szCs w:val="22"/>
          <w:lang w:bidi="uk-UA"/>
        </w:rPr>
        <w:t>П</w:t>
      </w:r>
      <w:r w:rsidR="00295C72" w:rsidRPr="00864421">
        <w:rPr>
          <w:rFonts w:eastAsia="Courier New"/>
          <w:sz w:val="22"/>
          <w:szCs w:val="22"/>
          <w:lang w:bidi="uk-UA"/>
        </w:rPr>
        <w:t>ідприємство планує підвищення вартості тарифу з вересня, вартість одноразового квитка буде становити 7 грн.</w:t>
      </w:r>
      <w:r w:rsidR="00295C72" w:rsidRPr="00864421">
        <w:rPr>
          <w:sz w:val="22"/>
          <w:szCs w:val="22"/>
          <w:lang w:bidi="uk-UA"/>
        </w:rPr>
        <w:t xml:space="preserve"> </w:t>
      </w:r>
    </w:p>
    <w:p w:rsidR="005755A6" w:rsidRPr="006E698E" w:rsidRDefault="005755A6" w:rsidP="0010609F">
      <w:pPr>
        <w:widowControl w:val="0"/>
        <w:jc w:val="both"/>
        <w:rPr>
          <w:color w:val="1D1D1D"/>
          <w:lang w:bidi="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rPr>
        <w:lastRenderedPageBreak/>
        <w:t xml:space="preserve">Державна підтримка відповідно до Програми </w:t>
      </w:r>
      <w:r w:rsidR="0079254C" w:rsidRPr="006E698E">
        <w:rPr>
          <w:lang w:val="uk-UA"/>
        </w:rPr>
        <w:t>3</w:t>
      </w:r>
      <w:r w:rsidRPr="006E698E">
        <w:rPr>
          <w:lang w:val="uk-UA"/>
        </w:rPr>
        <w:t xml:space="preserve"> спрямовується на: </w:t>
      </w:r>
    </w:p>
    <w:p w:rsidR="005755A6" w:rsidRPr="006E698E" w:rsidRDefault="005755A6" w:rsidP="005755A6">
      <w:pPr>
        <w:pStyle w:val="rvps2"/>
        <w:spacing w:before="0" w:beforeAutospacing="0" w:after="0" w:afterAutospacing="0"/>
        <w:ind w:left="567"/>
        <w:jc w:val="both"/>
        <w:rPr>
          <w:lang w:val="uk-UA" w:eastAsia="uk-UA"/>
        </w:rPr>
      </w:pPr>
    </w:p>
    <w:tbl>
      <w:tblPr>
        <w:tblOverlap w:val="never"/>
        <w:tblW w:w="9075" w:type="dxa"/>
        <w:tblInd w:w="577" w:type="dxa"/>
        <w:tblLayout w:type="fixed"/>
        <w:tblCellMar>
          <w:left w:w="10" w:type="dxa"/>
          <w:right w:w="10" w:type="dxa"/>
        </w:tblCellMar>
        <w:tblLook w:val="0000" w:firstRow="0" w:lastRow="0" w:firstColumn="0" w:lastColumn="0" w:noHBand="0" w:noVBand="0"/>
      </w:tblPr>
      <w:tblGrid>
        <w:gridCol w:w="284"/>
        <w:gridCol w:w="4255"/>
        <w:gridCol w:w="567"/>
        <w:gridCol w:w="851"/>
        <w:gridCol w:w="567"/>
        <w:gridCol w:w="567"/>
        <w:gridCol w:w="567"/>
        <w:gridCol w:w="567"/>
        <w:gridCol w:w="850"/>
      </w:tblGrid>
      <w:tr w:rsidR="005755A6" w:rsidRPr="006E698E" w:rsidTr="0079254C">
        <w:trPr>
          <w:trHeight w:hRule="exact" w:val="599"/>
        </w:trPr>
        <w:tc>
          <w:tcPr>
            <w:tcW w:w="284" w:type="dxa"/>
            <w:vMerge w:val="restart"/>
            <w:tcBorders>
              <w:top w:val="single" w:sz="4" w:space="0" w:color="auto"/>
              <w:left w:val="single" w:sz="4" w:space="0" w:color="auto"/>
            </w:tcBorders>
            <w:shd w:val="clear" w:color="auto" w:fill="FFFFFF"/>
            <w:vAlign w:val="center"/>
          </w:tcPr>
          <w:p w:rsidR="00295C72" w:rsidRPr="0010609F" w:rsidRDefault="00295C72" w:rsidP="00295C72">
            <w:pPr>
              <w:pStyle w:val="afe"/>
              <w:jc w:val="center"/>
              <w:rPr>
                <w:b/>
                <w:color w:val="auto"/>
                <w:sz w:val="16"/>
                <w:szCs w:val="16"/>
                <w:lang w:val="uk-UA"/>
              </w:rPr>
            </w:pPr>
            <w:r w:rsidRPr="0010609F">
              <w:rPr>
                <w:b/>
                <w:i/>
                <w:iCs/>
                <w:color w:val="auto"/>
                <w:sz w:val="16"/>
                <w:szCs w:val="16"/>
                <w:lang w:val="uk-UA"/>
              </w:rPr>
              <w:t>№</w:t>
            </w:r>
          </w:p>
          <w:p w:rsidR="00295C72" w:rsidRPr="006E698E" w:rsidRDefault="006A2278" w:rsidP="00295C72">
            <w:pPr>
              <w:pStyle w:val="afe"/>
              <w:jc w:val="center"/>
              <w:rPr>
                <w:b/>
                <w:color w:val="auto"/>
                <w:lang w:val="uk-UA"/>
              </w:rPr>
            </w:pPr>
            <w:r w:rsidRPr="0010609F">
              <w:rPr>
                <w:b/>
                <w:i/>
                <w:iCs/>
                <w:color w:val="auto"/>
                <w:sz w:val="16"/>
                <w:szCs w:val="16"/>
                <w:lang w:val="uk-UA"/>
              </w:rPr>
              <w:t>п</w:t>
            </w:r>
            <w:r w:rsidR="00295C72" w:rsidRPr="0010609F">
              <w:rPr>
                <w:b/>
                <w:i/>
                <w:iCs/>
                <w:color w:val="auto"/>
                <w:sz w:val="16"/>
                <w:szCs w:val="16"/>
                <w:lang w:val="uk-UA"/>
              </w:rPr>
              <w:t>/п</w:t>
            </w:r>
          </w:p>
        </w:tc>
        <w:tc>
          <w:tcPr>
            <w:tcW w:w="4255" w:type="dxa"/>
            <w:vMerge w:val="restart"/>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b/>
                <w:i/>
                <w:iCs/>
                <w:color w:val="auto"/>
                <w:lang w:val="uk-UA" w:bidi="uk-UA"/>
              </w:rPr>
            </w:pPr>
          </w:p>
          <w:p w:rsidR="00295C72" w:rsidRPr="006E698E" w:rsidRDefault="00295C72" w:rsidP="00295C72">
            <w:pPr>
              <w:pStyle w:val="afe"/>
              <w:jc w:val="center"/>
              <w:rPr>
                <w:b/>
                <w:i/>
                <w:iCs/>
                <w:color w:val="auto"/>
                <w:lang w:val="uk-UA" w:bidi="uk-UA"/>
              </w:rPr>
            </w:pPr>
          </w:p>
          <w:p w:rsidR="00295C72" w:rsidRPr="006E698E" w:rsidRDefault="00295C72" w:rsidP="00295C72">
            <w:pPr>
              <w:pStyle w:val="afe"/>
              <w:jc w:val="center"/>
              <w:rPr>
                <w:b/>
                <w:color w:val="auto"/>
                <w:lang w:val="uk-UA" w:bidi="uk-UA"/>
              </w:rPr>
            </w:pPr>
            <w:r w:rsidRPr="006E698E">
              <w:rPr>
                <w:b/>
                <w:i/>
                <w:iCs/>
                <w:color w:val="auto"/>
                <w:lang w:val="uk-UA" w:bidi="uk-UA"/>
              </w:rPr>
              <w:t>Найменування заходу</w:t>
            </w:r>
          </w:p>
          <w:p w:rsidR="00295C72" w:rsidRPr="006E698E" w:rsidRDefault="00295C72" w:rsidP="00295C72">
            <w:pPr>
              <w:pStyle w:val="afe"/>
              <w:spacing w:after="340"/>
              <w:jc w:val="center"/>
              <w:rPr>
                <w:b/>
                <w:color w:val="auto"/>
                <w:lang w:val="uk-UA"/>
              </w:rPr>
            </w:pPr>
          </w:p>
        </w:tc>
        <w:tc>
          <w:tcPr>
            <w:tcW w:w="567" w:type="dxa"/>
            <w:vMerge w:val="restart"/>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i/>
                <w:iCs/>
                <w:color w:val="auto"/>
                <w:lang w:val="uk-UA"/>
              </w:rPr>
              <w:t>К-ть,      од.</w:t>
            </w:r>
          </w:p>
        </w:tc>
        <w:tc>
          <w:tcPr>
            <w:tcW w:w="851" w:type="dxa"/>
            <w:vMerge w:val="restart"/>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i/>
                <w:iCs/>
                <w:color w:val="auto"/>
                <w:lang w:val="uk-UA"/>
              </w:rPr>
              <w:t>Всього, млн грн</w:t>
            </w:r>
          </w:p>
        </w:tc>
        <w:tc>
          <w:tcPr>
            <w:tcW w:w="3118" w:type="dxa"/>
            <w:gridSpan w:val="5"/>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i/>
                <w:iCs/>
                <w:color w:val="auto"/>
                <w:lang w:val="uk-UA"/>
              </w:rPr>
              <w:t>Витрати, у тому числі за роками, млн грн</w:t>
            </w:r>
          </w:p>
        </w:tc>
      </w:tr>
      <w:tr w:rsidR="005755A6" w:rsidRPr="006E698E" w:rsidTr="0079254C">
        <w:trPr>
          <w:trHeight w:hRule="exact" w:val="580"/>
        </w:trPr>
        <w:tc>
          <w:tcPr>
            <w:tcW w:w="284" w:type="dxa"/>
            <w:vMerge/>
            <w:tcBorders>
              <w:left w:val="single" w:sz="4" w:space="0" w:color="auto"/>
            </w:tcBorders>
            <w:shd w:val="clear" w:color="auto" w:fill="FFFFFF"/>
            <w:vAlign w:val="center"/>
          </w:tcPr>
          <w:p w:rsidR="00295C72" w:rsidRPr="006E698E" w:rsidRDefault="00295C72" w:rsidP="00295C72">
            <w:pPr>
              <w:jc w:val="center"/>
              <w:rPr>
                <w:b/>
                <w:sz w:val="20"/>
                <w:szCs w:val="20"/>
              </w:rPr>
            </w:pPr>
          </w:p>
        </w:tc>
        <w:tc>
          <w:tcPr>
            <w:tcW w:w="4255" w:type="dxa"/>
            <w:vMerge/>
            <w:tcBorders>
              <w:left w:val="single" w:sz="4" w:space="0" w:color="auto"/>
            </w:tcBorders>
            <w:shd w:val="clear" w:color="auto" w:fill="FFFFFF"/>
          </w:tcPr>
          <w:p w:rsidR="00295C72" w:rsidRPr="006E698E" w:rsidRDefault="00295C72" w:rsidP="00295C72">
            <w:pPr>
              <w:jc w:val="both"/>
              <w:rPr>
                <w:b/>
                <w:sz w:val="20"/>
                <w:szCs w:val="20"/>
              </w:rPr>
            </w:pPr>
          </w:p>
        </w:tc>
        <w:tc>
          <w:tcPr>
            <w:tcW w:w="567" w:type="dxa"/>
            <w:vMerge/>
            <w:tcBorders>
              <w:left w:val="single" w:sz="4" w:space="0" w:color="auto"/>
            </w:tcBorders>
            <w:shd w:val="clear" w:color="auto" w:fill="FFFFFF"/>
            <w:vAlign w:val="center"/>
          </w:tcPr>
          <w:p w:rsidR="00295C72" w:rsidRPr="006E698E" w:rsidRDefault="00295C72" w:rsidP="00295C72">
            <w:pPr>
              <w:jc w:val="center"/>
              <w:rPr>
                <w:b/>
                <w:sz w:val="20"/>
                <w:szCs w:val="20"/>
              </w:rPr>
            </w:pPr>
          </w:p>
        </w:tc>
        <w:tc>
          <w:tcPr>
            <w:tcW w:w="851" w:type="dxa"/>
            <w:vMerge/>
            <w:tcBorders>
              <w:left w:val="single" w:sz="4" w:space="0" w:color="auto"/>
            </w:tcBorders>
            <w:shd w:val="clear" w:color="auto" w:fill="FFFFFF"/>
            <w:vAlign w:val="center"/>
          </w:tcPr>
          <w:p w:rsidR="00295C72" w:rsidRPr="006E698E" w:rsidRDefault="00295C72" w:rsidP="00295C72">
            <w:pPr>
              <w:jc w:val="center"/>
              <w:rPr>
                <w:b/>
                <w:sz w:val="20"/>
                <w:szCs w:val="20"/>
              </w:rPr>
            </w:pP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i/>
                <w:iCs/>
                <w:color w:val="auto"/>
                <w:lang w:val="uk-UA"/>
              </w:rPr>
              <w:t>2021</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i/>
                <w:iCs/>
                <w:color w:val="auto"/>
                <w:lang w:val="uk-UA"/>
              </w:rPr>
              <w:t>2022</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i/>
                <w:iCs/>
                <w:color w:val="auto"/>
                <w:lang w:val="uk-UA"/>
              </w:rPr>
              <w:t>2023</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i/>
                <w:iCs/>
                <w:color w:val="auto"/>
                <w:lang w:val="uk-UA"/>
              </w:rPr>
              <w:t>2024</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i/>
                <w:iCs/>
                <w:color w:val="auto"/>
                <w:lang w:val="uk-UA"/>
              </w:rPr>
              <w:t>2025</w:t>
            </w:r>
          </w:p>
        </w:tc>
      </w:tr>
      <w:tr w:rsidR="005755A6" w:rsidRPr="006E698E" w:rsidTr="0079254C">
        <w:trPr>
          <w:trHeight w:hRule="exact" w:val="276"/>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Оновлення парку тролейбусів</w:t>
            </w:r>
          </w:p>
        </w:tc>
        <w:tc>
          <w:tcPr>
            <w:tcW w:w="567" w:type="dxa"/>
            <w:tcBorders>
              <w:top w:val="single" w:sz="4" w:space="0" w:color="auto"/>
              <w:left w:val="single" w:sz="4" w:space="0" w:color="auto"/>
            </w:tcBorders>
            <w:shd w:val="clear" w:color="auto" w:fill="FFFFFF"/>
            <w:vAlign w:val="bottom"/>
          </w:tcPr>
          <w:p w:rsidR="00295C72" w:rsidRPr="006E698E" w:rsidRDefault="00295C72" w:rsidP="00295C72">
            <w:pPr>
              <w:pStyle w:val="afe"/>
              <w:jc w:val="center"/>
              <w:rPr>
                <w:color w:val="auto"/>
                <w:lang w:val="uk-UA"/>
              </w:rPr>
            </w:pPr>
            <w:r w:rsidRPr="006E698E">
              <w:rPr>
                <w:color w:val="auto"/>
                <w:lang w:val="uk-UA"/>
              </w:rPr>
              <w:t>25</w:t>
            </w:r>
          </w:p>
        </w:tc>
        <w:tc>
          <w:tcPr>
            <w:tcW w:w="851" w:type="dxa"/>
            <w:tcBorders>
              <w:top w:val="single" w:sz="4" w:space="0" w:color="auto"/>
              <w:left w:val="single" w:sz="4" w:space="0" w:color="auto"/>
            </w:tcBorders>
            <w:shd w:val="clear" w:color="auto" w:fill="FFFFFF"/>
            <w:vAlign w:val="bottom"/>
          </w:tcPr>
          <w:p w:rsidR="00295C72" w:rsidRPr="006E698E" w:rsidRDefault="00295C72" w:rsidP="00295C72">
            <w:pPr>
              <w:pStyle w:val="afe"/>
              <w:jc w:val="center"/>
              <w:rPr>
                <w:color w:val="auto"/>
                <w:lang w:val="uk-UA"/>
              </w:rPr>
            </w:pPr>
            <w:r w:rsidRPr="006E698E">
              <w:rPr>
                <w:color w:val="auto"/>
                <w:lang w:val="uk-UA"/>
              </w:rPr>
              <w:t>159,0</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30,0</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30,0</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33,0</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33,0</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33,0</w:t>
            </w:r>
          </w:p>
        </w:tc>
      </w:tr>
      <w:tr w:rsidR="005755A6" w:rsidRPr="006E698E" w:rsidTr="0079254C">
        <w:trPr>
          <w:trHeight w:hRule="exact" w:val="278"/>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Капітальний ремонт рухомого складу</w:t>
            </w:r>
          </w:p>
        </w:tc>
        <w:tc>
          <w:tcPr>
            <w:tcW w:w="567" w:type="dxa"/>
            <w:tcBorders>
              <w:top w:val="single" w:sz="4" w:space="0" w:color="auto"/>
              <w:left w:val="single" w:sz="4" w:space="0" w:color="auto"/>
            </w:tcBorders>
            <w:shd w:val="clear" w:color="auto" w:fill="FFFFFF"/>
            <w:vAlign w:val="bottom"/>
          </w:tcPr>
          <w:p w:rsidR="00295C72" w:rsidRPr="006E698E" w:rsidRDefault="00295C72" w:rsidP="00295C72">
            <w:pPr>
              <w:pStyle w:val="afe"/>
              <w:jc w:val="center"/>
              <w:rPr>
                <w:color w:val="auto"/>
                <w:lang w:val="uk-UA"/>
              </w:rPr>
            </w:pPr>
            <w:r w:rsidRPr="006E698E">
              <w:rPr>
                <w:color w:val="auto"/>
                <w:lang w:val="uk-UA"/>
              </w:rPr>
              <w:t>І7</w:t>
            </w:r>
          </w:p>
        </w:tc>
        <w:tc>
          <w:tcPr>
            <w:tcW w:w="851" w:type="dxa"/>
            <w:tcBorders>
              <w:top w:val="single" w:sz="4" w:space="0" w:color="auto"/>
              <w:left w:val="single" w:sz="4" w:space="0" w:color="auto"/>
            </w:tcBorders>
            <w:shd w:val="clear" w:color="auto" w:fill="FFFFFF"/>
            <w:vAlign w:val="bottom"/>
          </w:tcPr>
          <w:p w:rsidR="00295C72" w:rsidRPr="006E698E" w:rsidRDefault="00295C72" w:rsidP="00295C72">
            <w:pPr>
              <w:pStyle w:val="afe"/>
              <w:jc w:val="center"/>
              <w:rPr>
                <w:color w:val="auto"/>
                <w:lang w:val="uk-UA"/>
              </w:rPr>
            </w:pPr>
            <w:r w:rsidRPr="006E698E">
              <w:rPr>
                <w:color w:val="auto"/>
                <w:lang w:val="uk-UA"/>
              </w:rPr>
              <w:t>10,2</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1,7</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2,4</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1,8</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2,5</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1,8</w:t>
            </w:r>
          </w:p>
        </w:tc>
      </w:tr>
      <w:tr w:rsidR="005755A6" w:rsidRPr="006E698E" w:rsidTr="0079254C">
        <w:trPr>
          <w:trHeight w:hRule="exact" w:val="990"/>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 xml:space="preserve">Проведення технічного обслуговування наявних тролейбусів (заміна мастил, технічних рідин, запасних частин, </w:t>
            </w:r>
            <w:proofErr w:type="spellStart"/>
            <w:r w:rsidRPr="006E698E">
              <w:rPr>
                <w:color w:val="auto"/>
                <w:lang w:val="uk-UA"/>
              </w:rPr>
              <w:t>швидкозношувальних</w:t>
            </w:r>
            <w:proofErr w:type="spellEnd"/>
            <w:r w:rsidRPr="006E698E">
              <w:rPr>
                <w:color w:val="auto"/>
                <w:lang w:val="uk-UA"/>
              </w:rPr>
              <w:t xml:space="preserve"> елементів тощо)</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1"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15,5</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2,3</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2,7</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3,2</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3,5</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3,8</w:t>
            </w:r>
          </w:p>
        </w:tc>
      </w:tr>
      <w:tr w:rsidR="005755A6" w:rsidRPr="006E698E" w:rsidTr="0079254C">
        <w:trPr>
          <w:trHeight w:hRule="exact" w:val="282"/>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4</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Заміна кабельних ліній тягових підстанцій</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1" w:type="dxa"/>
            <w:tcBorders>
              <w:top w:val="single" w:sz="4" w:space="0" w:color="auto"/>
              <w:left w:val="single" w:sz="4" w:space="0" w:color="auto"/>
            </w:tcBorders>
            <w:shd w:val="clear" w:color="auto" w:fill="FFFFFF"/>
            <w:vAlign w:val="bottom"/>
          </w:tcPr>
          <w:p w:rsidR="00295C72" w:rsidRPr="006E698E" w:rsidRDefault="00295C72" w:rsidP="00295C72">
            <w:pPr>
              <w:pStyle w:val="afe"/>
              <w:jc w:val="center"/>
              <w:rPr>
                <w:color w:val="auto"/>
                <w:lang w:val="uk-UA"/>
              </w:rPr>
            </w:pPr>
            <w:r w:rsidRPr="006E698E">
              <w:rPr>
                <w:color w:val="auto"/>
                <w:lang w:val="uk-UA"/>
              </w:rPr>
              <w:t>1,9</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0,4</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о,3</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0,3</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0,5</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0,4</w:t>
            </w:r>
          </w:p>
        </w:tc>
      </w:tr>
      <w:tr w:rsidR="005755A6" w:rsidRPr="006E698E" w:rsidTr="0079254C">
        <w:trPr>
          <w:trHeight w:hRule="exact" w:val="527"/>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5</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Проведення капітальних ремонтів контактної мережі</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1"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9,4</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2,0</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1,5</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1,9</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1,8</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2,2</w:t>
            </w:r>
          </w:p>
        </w:tc>
      </w:tr>
      <w:tr w:rsidR="005755A6" w:rsidRPr="006E698E" w:rsidTr="0079254C">
        <w:trPr>
          <w:trHeight w:hRule="exact" w:val="240"/>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6</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Будівництво тролейбусної лінії</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1" w:type="dxa"/>
            <w:tcBorders>
              <w:top w:val="single" w:sz="4" w:space="0" w:color="auto"/>
              <w:left w:val="single" w:sz="4" w:space="0" w:color="auto"/>
            </w:tcBorders>
            <w:shd w:val="clear" w:color="auto" w:fill="FFFFFF"/>
            <w:vAlign w:val="bottom"/>
          </w:tcPr>
          <w:p w:rsidR="00295C72" w:rsidRPr="006E698E" w:rsidRDefault="00295C72" w:rsidP="00295C72">
            <w:pPr>
              <w:pStyle w:val="afe"/>
              <w:jc w:val="center"/>
              <w:rPr>
                <w:color w:val="auto"/>
                <w:lang w:val="uk-UA"/>
              </w:rPr>
            </w:pPr>
            <w:r w:rsidRPr="006E698E">
              <w:rPr>
                <w:color w:val="auto"/>
                <w:lang w:val="uk-UA"/>
              </w:rPr>
              <w:t>2,9</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2,9</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r>
      <w:tr w:rsidR="005755A6" w:rsidRPr="006E698E" w:rsidTr="0079254C">
        <w:trPr>
          <w:trHeight w:hRule="exact" w:val="510"/>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7</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Капітальний ремонт головного та адміністративно-побутового корпусів</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1"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13,8</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5,0</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1,7</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1,5</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2,6</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3,0</w:t>
            </w:r>
          </w:p>
        </w:tc>
      </w:tr>
      <w:tr w:rsidR="005755A6" w:rsidRPr="006E698E" w:rsidTr="0079254C">
        <w:trPr>
          <w:trHeight w:hRule="exact" w:val="290"/>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8</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Ремонт та модернізація тягових підстанцій</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1" w:type="dxa"/>
            <w:tcBorders>
              <w:top w:val="single" w:sz="4" w:space="0" w:color="auto"/>
              <w:left w:val="single" w:sz="4" w:space="0" w:color="auto"/>
            </w:tcBorders>
            <w:shd w:val="clear" w:color="auto" w:fill="FFFFFF"/>
            <w:vAlign w:val="bottom"/>
          </w:tcPr>
          <w:p w:rsidR="00295C72" w:rsidRPr="006E698E" w:rsidRDefault="00295C72" w:rsidP="00295C72">
            <w:pPr>
              <w:pStyle w:val="afe"/>
              <w:jc w:val="center"/>
              <w:rPr>
                <w:color w:val="auto"/>
                <w:lang w:val="uk-UA"/>
              </w:rPr>
            </w:pPr>
            <w:r w:rsidRPr="006E698E">
              <w:rPr>
                <w:color w:val="auto"/>
                <w:lang w:val="uk-UA"/>
              </w:rPr>
              <w:t>4,8</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1,5</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1,0</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0,5</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0,8</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1,0</w:t>
            </w:r>
          </w:p>
        </w:tc>
      </w:tr>
      <w:tr w:rsidR="005755A6" w:rsidRPr="006E698E" w:rsidTr="0079254C">
        <w:trPr>
          <w:trHeight w:hRule="exact" w:val="549"/>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9</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Реконструкція контрольно-випускного пункту</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1"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0,2</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0,2</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jc w:val="center"/>
              <w:rPr>
                <w:sz w:val="20"/>
                <w:szCs w:val="20"/>
              </w:rPr>
            </w:pPr>
          </w:p>
        </w:tc>
      </w:tr>
      <w:tr w:rsidR="005755A6" w:rsidRPr="006E698E" w:rsidTr="0079254C">
        <w:trPr>
          <w:trHeight w:hRule="exact" w:val="284"/>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10</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tabs>
                <w:tab w:val="left" w:leader="dot" w:pos="3797"/>
              </w:tabs>
              <w:jc w:val="both"/>
              <w:rPr>
                <w:color w:val="auto"/>
                <w:lang w:val="uk-UA"/>
              </w:rPr>
            </w:pPr>
            <w:r w:rsidRPr="006E698E">
              <w:rPr>
                <w:color w:val="auto"/>
                <w:lang w:val="uk-UA"/>
              </w:rPr>
              <w:t xml:space="preserve">Оновлення матеріально-технічної бази </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1"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5,2</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2,5</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0,8</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0,8</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0,5</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0,6</w:t>
            </w:r>
          </w:p>
        </w:tc>
      </w:tr>
      <w:tr w:rsidR="005755A6" w:rsidRPr="006E698E" w:rsidTr="0079254C">
        <w:trPr>
          <w:trHeight w:hRule="exact" w:val="475"/>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11</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Придбання GPS-пристроїв для озвучування зупинок</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45</w:t>
            </w:r>
          </w:p>
        </w:tc>
        <w:tc>
          <w:tcPr>
            <w:tcW w:w="851"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0,64</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0,3</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0,07</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0,07</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r>
      <w:tr w:rsidR="005755A6" w:rsidRPr="006E698E" w:rsidTr="0079254C">
        <w:trPr>
          <w:trHeight w:hRule="exact" w:val="521"/>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І2</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Придбання обладнання для доступу до                  Wi-Fi в електротранспорті</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25</w:t>
            </w:r>
          </w:p>
        </w:tc>
        <w:tc>
          <w:tcPr>
            <w:tcW w:w="851"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0,5</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r>
      <w:tr w:rsidR="005755A6" w:rsidRPr="006E698E" w:rsidTr="0079254C">
        <w:trPr>
          <w:trHeight w:hRule="exact" w:val="699"/>
        </w:trPr>
        <w:tc>
          <w:tcPr>
            <w:tcW w:w="284"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13</w:t>
            </w:r>
          </w:p>
        </w:tc>
        <w:tc>
          <w:tcPr>
            <w:tcW w:w="4255" w:type="dxa"/>
            <w:tcBorders>
              <w:top w:val="single" w:sz="4" w:space="0" w:color="auto"/>
              <w:left w:val="single" w:sz="4" w:space="0" w:color="auto"/>
            </w:tcBorders>
            <w:shd w:val="clear" w:color="auto" w:fill="FFFFFF"/>
          </w:tcPr>
          <w:p w:rsidR="00295C72" w:rsidRPr="006E698E" w:rsidRDefault="00295C72" w:rsidP="00295C72">
            <w:pPr>
              <w:pStyle w:val="afe"/>
              <w:jc w:val="both"/>
              <w:rPr>
                <w:color w:val="auto"/>
                <w:lang w:val="uk-UA"/>
              </w:rPr>
            </w:pPr>
            <w:r w:rsidRPr="006E698E">
              <w:rPr>
                <w:color w:val="auto"/>
                <w:lang w:val="uk-UA"/>
              </w:rPr>
              <w:t xml:space="preserve">Виготовлення проектно-кошторисної документації для будівництва тролейбусної лінії </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w:t>
            </w:r>
          </w:p>
        </w:tc>
        <w:tc>
          <w:tcPr>
            <w:tcW w:w="851"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0,1</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567" w:type="dxa"/>
            <w:tcBorders>
              <w:top w:val="single" w:sz="4" w:space="0" w:color="auto"/>
              <w:lef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c>
          <w:tcPr>
            <w:tcW w:w="850" w:type="dxa"/>
            <w:tcBorders>
              <w:top w:val="single" w:sz="4" w:space="0" w:color="auto"/>
              <w:left w:val="single" w:sz="4" w:space="0" w:color="auto"/>
              <w:right w:val="single" w:sz="4" w:space="0" w:color="auto"/>
            </w:tcBorders>
            <w:shd w:val="clear" w:color="auto" w:fill="FFFFFF"/>
            <w:vAlign w:val="center"/>
          </w:tcPr>
          <w:p w:rsidR="00295C72" w:rsidRPr="006E698E" w:rsidRDefault="00295C72" w:rsidP="00295C72">
            <w:pPr>
              <w:jc w:val="center"/>
              <w:rPr>
                <w:sz w:val="20"/>
                <w:szCs w:val="20"/>
              </w:rPr>
            </w:pPr>
            <w:r w:rsidRPr="006E698E">
              <w:rPr>
                <w:sz w:val="20"/>
                <w:szCs w:val="20"/>
              </w:rPr>
              <w:t>-</w:t>
            </w:r>
          </w:p>
        </w:tc>
      </w:tr>
      <w:tr w:rsidR="005755A6" w:rsidRPr="006E698E" w:rsidTr="0079254C">
        <w:trPr>
          <w:trHeight w:hRule="exact" w:val="260"/>
        </w:trPr>
        <w:tc>
          <w:tcPr>
            <w:tcW w:w="284"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jc w:val="center"/>
              <w:rPr>
                <w:sz w:val="20"/>
                <w:szCs w:val="20"/>
              </w:rPr>
            </w:pPr>
          </w:p>
        </w:tc>
        <w:tc>
          <w:tcPr>
            <w:tcW w:w="4255" w:type="dxa"/>
            <w:tcBorders>
              <w:top w:val="single" w:sz="4" w:space="0" w:color="auto"/>
              <w:left w:val="single" w:sz="4" w:space="0" w:color="auto"/>
              <w:bottom w:val="single" w:sz="4" w:space="0" w:color="auto"/>
            </w:tcBorders>
            <w:shd w:val="clear" w:color="auto" w:fill="FFFFFF"/>
          </w:tcPr>
          <w:p w:rsidR="00295C72" w:rsidRPr="006E698E" w:rsidRDefault="006A2278" w:rsidP="0010609F">
            <w:pPr>
              <w:pStyle w:val="afe"/>
              <w:jc w:val="center"/>
              <w:rPr>
                <w:b/>
                <w:color w:val="auto"/>
                <w:lang w:val="uk-UA"/>
              </w:rPr>
            </w:pPr>
            <w:r>
              <w:rPr>
                <w:b/>
                <w:color w:val="auto"/>
                <w:lang w:val="uk-UA"/>
              </w:rPr>
              <w:t xml:space="preserve">                                                                   </w:t>
            </w:r>
            <w:r w:rsidR="00295C72" w:rsidRPr="006E698E">
              <w:rPr>
                <w:b/>
                <w:color w:val="auto"/>
                <w:lang w:val="uk-UA"/>
              </w:rPr>
              <w:t>Всього</w:t>
            </w:r>
          </w:p>
        </w:tc>
        <w:tc>
          <w:tcPr>
            <w:tcW w:w="567"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113</w:t>
            </w:r>
          </w:p>
        </w:tc>
        <w:tc>
          <w:tcPr>
            <w:tcW w:w="851"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jc w:val="center"/>
              <w:rPr>
                <w:b/>
                <w:color w:val="auto"/>
                <w:lang w:val="uk-UA"/>
              </w:rPr>
            </w:pPr>
            <w:r w:rsidRPr="006E698E">
              <w:rPr>
                <w:b/>
                <w:color w:val="auto"/>
                <w:lang w:val="uk-UA"/>
              </w:rPr>
              <w:t>224,14</w:t>
            </w:r>
          </w:p>
        </w:tc>
        <w:tc>
          <w:tcPr>
            <w:tcW w:w="567"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49,0</w:t>
            </w:r>
          </w:p>
        </w:tc>
        <w:tc>
          <w:tcPr>
            <w:tcW w:w="567"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40,57</w:t>
            </w:r>
          </w:p>
        </w:tc>
        <w:tc>
          <w:tcPr>
            <w:tcW w:w="567"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43,17</w:t>
            </w:r>
          </w:p>
        </w:tc>
        <w:tc>
          <w:tcPr>
            <w:tcW w:w="567" w:type="dxa"/>
            <w:tcBorders>
              <w:top w:val="single" w:sz="4" w:space="0" w:color="auto"/>
              <w:left w:val="single" w:sz="4" w:space="0" w:color="auto"/>
              <w:bottom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45,4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5C72" w:rsidRPr="006E698E" w:rsidRDefault="00295C72" w:rsidP="00295C72">
            <w:pPr>
              <w:pStyle w:val="afe"/>
              <w:jc w:val="center"/>
              <w:rPr>
                <w:color w:val="auto"/>
                <w:lang w:val="uk-UA"/>
              </w:rPr>
            </w:pPr>
            <w:r w:rsidRPr="006E698E">
              <w:rPr>
                <w:color w:val="auto"/>
                <w:lang w:val="uk-UA"/>
              </w:rPr>
              <w:t>46,0</w:t>
            </w:r>
          </w:p>
        </w:tc>
      </w:tr>
    </w:tbl>
    <w:p w:rsidR="00295C72" w:rsidRPr="006E698E" w:rsidRDefault="00295C72" w:rsidP="00295C72">
      <w:pPr>
        <w:tabs>
          <w:tab w:val="left" w:pos="567"/>
        </w:tabs>
        <w:contextualSpacing/>
        <w:jc w:val="both"/>
        <w:rPr>
          <w:bCs/>
        </w:rPr>
      </w:pPr>
    </w:p>
    <w:p w:rsidR="00295C72" w:rsidRPr="006E698E" w:rsidRDefault="00295C72" w:rsidP="00295C72">
      <w:pPr>
        <w:pStyle w:val="rvps2"/>
        <w:numPr>
          <w:ilvl w:val="0"/>
          <w:numId w:val="2"/>
        </w:numPr>
        <w:spacing w:before="0" w:beforeAutospacing="0" w:after="0" w:afterAutospacing="0"/>
        <w:ind w:left="567" w:hanging="567"/>
        <w:jc w:val="both"/>
        <w:rPr>
          <w:color w:val="000000" w:themeColor="text1"/>
          <w:lang w:val="uk-UA"/>
        </w:rPr>
      </w:pPr>
      <w:r w:rsidRPr="006E698E">
        <w:rPr>
          <w:lang w:val="uk-UA"/>
        </w:rPr>
        <w:t>Відповідно до Програми 1 розмір компенсації, що буде надаватис</w:t>
      </w:r>
      <w:r w:rsidR="006A2278">
        <w:rPr>
          <w:lang w:val="uk-UA"/>
        </w:rPr>
        <w:t>я</w:t>
      </w:r>
      <w:r w:rsidRPr="006E698E">
        <w:rPr>
          <w:lang w:val="uk-UA"/>
        </w:rPr>
        <w:t xml:space="preserve"> Підприємству, перевіряється </w:t>
      </w:r>
      <w:r w:rsidR="006A2278">
        <w:rPr>
          <w:lang w:val="uk-UA"/>
        </w:rPr>
        <w:t>під час</w:t>
      </w:r>
      <w:r w:rsidRPr="006E698E">
        <w:rPr>
          <w:lang w:val="uk-UA"/>
        </w:rPr>
        <w:t xml:space="preserve"> хронометричного обстеження шляхом </w:t>
      </w:r>
      <w:proofErr w:type="spellStart"/>
      <w:r w:rsidRPr="006E698E">
        <w:rPr>
          <w:lang w:val="uk-UA"/>
        </w:rPr>
        <w:t>обілечування</w:t>
      </w:r>
      <w:proofErr w:type="spellEnd"/>
      <w:r w:rsidRPr="006E698E">
        <w:rPr>
          <w:lang w:val="uk-UA"/>
        </w:rPr>
        <w:t xml:space="preserve"> пільгових категорій населення квитками встановленого зразка, яке провод</w:t>
      </w:r>
      <w:r w:rsidR="006A2278">
        <w:rPr>
          <w:lang w:val="uk-UA"/>
        </w:rPr>
        <w:t>я</w:t>
      </w:r>
      <w:r w:rsidR="009364F5">
        <w:rPr>
          <w:lang w:val="uk-UA"/>
        </w:rPr>
        <w:t>ть</w:t>
      </w:r>
      <w:r w:rsidRPr="006E698E">
        <w:rPr>
          <w:lang w:val="uk-UA"/>
        </w:rPr>
        <w:t xml:space="preserve"> працівники КП</w:t>
      </w:r>
      <w:r w:rsidR="006A2278">
        <w:rPr>
          <w:lang w:val="uk-UA"/>
        </w:rPr>
        <w:t> </w:t>
      </w:r>
      <w:r w:rsidRPr="006E698E">
        <w:rPr>
          <w:lang w:val="uk-UA"/>
        </w:rPr>
        <w:t xml:space="preserve">БЦМР «Тролейбусне управління», Надавач 2 </w:t>
      </w:r>
      <w:r w:rsidR="006A2278">
        <w:rPr>
          <w:lang w:val="uk-UA"/>
        </w:rPr>
        <w:t>і</w:t>
      </w:r>
      <w:r w:rsidR="006A2278" w:rsidRPr="006E698E">
        <w:rPr>
          <w:lang w:val="uk-UA"/>
        </w:rPr>
        <w:t xml:space="preserve"> </w:t>
      </w:r>
      <w:r w:rsidRPr="006E698E">
        <w:rPr>
          <w:lang w:val="uk-UA"/>
        </w:rPr>
        <w:t xml:space="preserve">відділ транспорту та зв’язку Білоцерківської міської ради для визначення питомої ваги кількості пільгових (безплатних) пасажирів </w:t>
      </w:r>
      <w:r w:rsidR="009364F5">
        <w:rPr>
          <w:lang w:val="uk-UA"/>
        </w:rPr>
        <w:t>у</w:t>
      </w:r>
      <w:r w:rsidR="009364F5" w:rsidRPr="006E698E">
        <w:rPr>
          <w:lang w:val="uk-UA"/>
        </w:rPr>
        <w:t xml:space="preserve"> </w:t>
      </w:r>
      <w:r w:rsidRPr="006E698E">
        <w:rPr>
          <w:lang w:val="uk-UA"/>
        </w:rPr>
        <w:t>загальній кількості перевезених пасажирів електротранспортом у міському сполученні.</w:t>
      </w:r>
    </w:p>
    <w:p w:rsidR="00295C72" w:rsidRPr="006E698E" w:rsidRDefault="00295C72" w:rsidP="00295C72">
      <w:pPr>
        <w:pStyle w:val="rvps2"/>
        <w:spacing w:before="0" w:beforeAutospacing="0" w:after="0" w:afterAutospacing="0"/>
        <w:jc w:val="both"/>
        <w:rPr>
          <w:color w:val="000000" w:themeColor="text1"/>
          <w:lang w:val="uk-UA"/>
        </w:rPr>
      </w:pPr>
    </w:p>
    <w:p w:rsidR="00295C72" w:rsidRPr="006E698E" w:rsidRDefault="00295C72" w:rsidP="00295C72">
      <w:pPr>
        <w:pStyle w:val="rvps2"/>
        <w:numPr>
          <w:ilvl w:val="0"/>
          <w:numId w:val="2"/>
        </w:numPr>
        <w:spacing w:before="0" w:beforeAutospacing="0" w:after="0" w:afterAutospacing="0"/>
        <w:ind w:left="567" w:hanging="567"/>
        <w:jc w:val="both"/>
        <w:rPr>
          <w:color w:val="000000" w:themeColor="text1"/>
          <w:lang w:val="uk-UA"/>
        </w:rPr>
      </w:pPr>
      <w:r w:rsidRPr="006E698E">
        <w:rPr>
          <w:lang w:val="uk-UA"/>
        </w:rPr>
        <w:t xml:space="preserve">Відповідно до </w:t>
      </w:r>
      <w:r w:rsidR="0079254C" w:rsidRPr="006E698E">
        <w:rPr>
          <w:rFonts w:eastAsiaTheme="minorHAnsi"/>
          <w:lang w:val="uk-UA"/>
        </w:rPr>
        <w:t>Програми 2</w:t>
      </w:r>
      <w:r w:rsidRPr="006E698E">
        <w:rPr>
          <w:lang w:val="uk-UA"/>
        </w:rPr>
        <w:t xml:space="preserve"> кошти виділяються згідно </w:t>
      </w:r>
      <w:r w:rsidR="00CA3A75">
        <w:rPr>
          <w:lang w:val="uk-UA"/>
        </w:rPr>
        <w:t xml:space="preserve">зі </w:t>
      </w:r>
      <w:r w:rsidRPr="006E698E">
        <w:rPr>
          <w:lang w:val="uk-UA"/>
        </w:rPr>
        <w:t>звіт</w:t>
      </w:r>
      <w:r w:rsidR="00CA3A75">
        <w:rPr>
          <w:lang w:val="uk-UA"/>
        </w:rPr>
        <w:t>ом</w:t>
      </w:r>
      <w:r w:rsidRPr="006E698E">
        <w:rPr>
          <w:lang w:val="uk-UA"/>
        </w:rPr>
        <w:t xml:space="preserve"> про виконання техніко-економічних показників за відповідний період, розраховани</w:t>
      </w:r>
      <w:r w:rsidR="00CA3A75">
        <w:rPr>
          <w:lang w:val="uk-UA"/>
        </w:rPr>
        <w:t>х</w:t>
      </w:r>
      <w:r w:rsidRPr="006E698E">
        <w:rPr>
          <w:lang w:val="uk-UA"/>
        </w:rPr>
        <w:t xml:space="preserve"> </w:t>
      </w:r>
      <w:r w:rsidR="00CA3A75">
        <w:rPr>
          <w:lang w:val="uk-UA"/>
        </w:rPr>
        <w:t xml:space="preserve">за </w:t>
      </w:r>
      <w:r w:rsidRPr="006E698E">
        <w:rPr>
          <w:lang w:val="uk-UA"/>
        </w:rPr>
        <w:t>фактичним</w:t>
      </w:r>
      <w:r w:rsidR="00CA3A75">
        <w:rPr>
          <w:lang w:val="uk-UA"/>
        </w:rPr>
        <w:t>и</w:t>
      </w:r>
      <w:r w:rsidRPr="006E698E">
        <w:rPr>
          <w:lang w:val="uk-UA"/>
        </w:rPr>
        <w:t xml:space="preserve"> показникам</w:t>
      </w:r>
      <w:r w:rsidR="00CA3A75">
        <w:rPr>
          <w:lang w:val="uk-UA"/>
        </w:rPr>
        <w:t>и</w:t>
      </w:r>
      <w:r w:rsidRPr="006E698E">
        <w:rPr>
          <w:lang w:val="uk-UA"/>
        </w:rPr>
        <w:t xml:space="preserve"> Підприємства, у разі якщо фактична собівартість перевищує затверджений рівень тарифу на проїзд. Фактична собівартість наданих послуг визначається згідно </w:t>
      </w:r>
      <w:r w:rsidR="00CA3A75">
        <w:rPr>
          <w:lang w:val="uk-UA"/>
        </w:rPr>
        <w:t xml:space="preserve">з </w:t>
      </w:r>
      <w:r w:rsidRPr="006E698E">
        <w:rPr>
          <w:lang w:val="uk-UA"/>
        </w:rPr>
        <w:t>наказ</w:t>
      </w:r>
      <w:r w:rsidR="00CA3A75">
        <w:rPr>
          <w:lang w:val="uk-UA"/>
        </w:rPr>
        <w:t>ом</w:t>
      </w:r>
      <w:r w:rsidRPr="006E698E">
        <w:rPr>
          <w:lang w:val="uk-UA"/>
        </w:rPr>
        <w:t xml:space="preserve"> Міністерства інфраструктури України № 940 від</w:t>
      </w:r>
      <w:r w:rsidR="00900391">
        <w:rPr>
          <w:lang w:val="uk-UA"/>
        </w:rPr>
        <w:t> </w:t>
      </w:r>
      <w:r w:rsidRPr="006E698E">
        <w:rPr>
          <w:lang w:val="uk-UA"/>
        </w:rPr>
        <w:t>25.11.2013 «Про затвердження Порядку формування тарифів на послуги міського електротранспорту», а саме</w:t>
      </w:r>
      <w:r w:rsidR="00900391">
        <w:rPr>
          <w:lang w:val="uk-UA"/>
        </w:rPr>
        <w:t>,</w:t>
      </w:r>
      <w:r w:rsidRPr="006E698E">
        <w:rPr>
          <w:lang w:val="uk-UA"/>
        </w:rPr>
        <w:t xml:space="preserve"> шляхом ділення фактичних витрат за мінусом доходів здавання в оренду власного нерухомого майна та прибутку від перевезення пасажирів автобусами на перевезених пасажирів (платних та пільговиків). До фактичних витрат </w:t>
      </w:r>
      <w:r w:rsidR="0004050F">
        <w:rPr>
          <w:lang w:val="uk-UA"/>
        </w:rPr>
        <w:t>належать</w:t>
      </w:r>
      <w:r w:rsidR="0004050F" w:rsidRPr="006E698E">
        <w:rPr>
          <w:lang w:val="uk-UA"/>
        </w:rPr>
        <w:t xml:space="preserve"> </w:t>
      </w:r>
      <w:r w:rsidRPr="006E698E">
        <w:rPr>
          <w:lang w:val="uk-UA"/>
        </w:rPr>
        <w:t>всі витрати Підприємств</w:t>
      </w:r>
      <w:r w:rsidR="0004050F">
        <w:rPr>
          <w:lang w:val="uk-UA"/>
        </w:rPr>
        <w:t>а</w:t>
      </w:r>
      <w:r w:rsidRPr="006E698E">
        <w:rPr>
          <w:lang w:val="uk-UA"/>
        </w:rPr>
        <w:t xml:space="preserve"> (тобто 231, 92, 94 рахунки), крім витрат </w:t>
      </w:r>
      <w:r w:rsidR="0004050F">
        <w:rPr>
          <w:lang w:val="uk-UA"/>
        </w:rPr>
        <w:t>з</w:t>
      </w:r>
      <w:r w:rsidR="0004050F" w:rsidRPr="006E698E">
        <w:rPr>
          <w:lang w:val="uk-UA"/>
        </w:rPr>
        <w:t xml:space="preserve"> </w:t>
      </w:r>
      <w:r w:rsidRPr="006E698E">
        <w:rPr>
          <w:lang w:val="uk-UA"/>
        </w:rPr>
        <w:t>перевезенн</w:t>
      </w:r>
      <w:r w:rsidR="0004050F">
        <w:rPr>
          <w:lang w:val="uk-UA"/>
        </w:rPr>
        <w:t>я</w:t>
      </w:r>
      <w:r w:rsidRPr="006E698E">
        <w:rPr>
          <w:lang w:val="uk-UA"/>
        </w:rPr>
        <w:t xml:space="preserve"> пасажирів автобусами (232 рахунок) та оплати агентам за реалізацію квитків та карток, які здійснюються не в касі Підприємства (93 рахунок), а в стаціонарній касі, та погашенн</w:t>
      </w:r>
      <w:r w:rsidR="0004050F">
        <w:rPr>
          <w:lang w:val="uk-UA"/>
        </w:rPr>
        <w:t>я</w:t>
      </w:r>
      <w:r w:rsidRPr="006E698E">
        <w:rPr>
          <w:lang w:val="uk-UA"/>
        </w:rPr>
        <w:t xml:space="preserve"> відсотків </w:t>
      </w:r>
      <w:r w:rsidR="0004050F">
        <w:rPr>
          <w:lang w:val="uk-UA"/>
        </w:rPr>
        <w:t>за</w:t>
      </w:r>
      <w:r w:rsidR="0004050F" w:rsidRPr="006E698E">
        <w:rPr>
          <w:lang w:val="uk-UA"/>
        </w:rPr>
        <w:t xml:space="preserve"> </w:t>
      </w:r>
      <w:r w:rsidRPr="006E698E">
        <w:rPr>
          <w:lang w:val="uk-UA"/>
        </w:rPr>
        <w:t>інвестиційн</w:t>
      </w:r>
      <w:r w:rsidR="0004050F">
        <w:rPr>
          <w:lang w:val="uk-UA"/>
        </w:rPr>
        <w:t>им</w:t>
      </w:r>
      <w:r w:rsidRPr="006E698E">
        <w:rPr>
          <w:lang w:val="uk-UA"/>
        </w:rPr>
        <w:t xml:space="preserve"> договор</w:t>
      </w:r>
      <w:r w:rsidR="0004050F">
        <w:rPr>
          <w:lang w:val="uk-UA"/>
        </w:rPr>
        <w:t>ом</w:t>
      </w:r>
      <w:r w:rsidRPr="006E698E">
        <w:rPr>
          <w:lang w:val="uk-UA"/>
        </w:rPr>
        <w:t xml:space="preserve"> (95 рахунок), </w:t>
      </w:r>
      <w:r w:rsidR="0004050F">
        <w:rPr>
          <w:lang w:val="uk-UA"/>
        </w:rPr>
        <w:t xml:space="preserve">оскільки </w:t>
      </w:r>
      <w:r w:rsidRPr="006E698E">
        <w:rPr>
          <w:lang w:val="uk-UA"/>
        </w:rPr>
        <w:t xml:space="preserve">на Підприємстві з 11.03.2017 ввели в дію електронний квиток та придбано </w:t>
      </w:r>
      <w:r w:rsidRPr="006E698E">
        <w:rPr>
          <w:lang w:val="uk-UA"/>
        </w:rPr>
        <w:lastRenderedPageBreak/>
        <w:t xml:space="preserve">обладнання (шляхом надходження інвестицій </w:t>
      </w:r>
      <w:r w:rsidR="0004050F">
        <w:rPr>
          <w:lang w:val="uk-UA"/>
        </w:rPr>
        <w:t>за</w:t>
      </w:r>
      <w:r w:rsidR="0004050F" w:rsidRPr="006E698E">
        <w:rPr>
          <w:lang w:val="uk-UA"/>
        </w:rPr>
        <w:t xml:space="preserve"> </w:t>
      </w:r>
      <w:r w:rsidRPr="006E698E">
        <w:rPr>
          <w:lang w:val="uk-UA"/>
        </w:rPr>
        <w:t>інвестиційн</w:t>
      </w:r>
      <w:r w:rsidR="0004050F">
        <w:rPr>
          <w:lang w:val="uk-UA"/>
        </w:rPr>
        <w:t>им</w:t>
      </w:r>
      <w:r w:rsidRPr="006E698E">
        <w:rPr>
          <w:lang w:val="uk-UA"/>
        </w:rPr>
        <w:t xml:space="preserve"> договор</w:t>
      </w:r>
      <w:r w:rsidR="0004050F">
        <w:rPr>
          <w:lang w:val="uk-UA"/>
        </w:rPr>
        <w:t>ом</w:t>
      </w:r>
      <w:r w:rsidRPr="006E698E">
        <w:rPr>
          <w:lang w:val="uk-UA"/>
        </w:rPr>
        <w:t xml:space="preserve">, який  </w:t>
      </w:r>
      <w:r w:rsidR="0004050F">
        <w:rPr>
          <w:lang w:val="uk-UA"/>
        </w:rPr>
        <w:t>укладено</w:t>
      </w:r>
      <w:r w:rsidRPr="006E698E">
        <w:rPr>
          <w:lang w:val="uk-UA"/>
        </w:rPr>
        <w:t xml:space="preserve"> 21.07.2016) для обліку платних пасажирів. </w:t>
      </w:r>
    </w:p>
    <w:p w:rsidR="00295C72" w:rsidRPr="006E698E" w:rsidRDefault="00295C72" w:rsidP="00295C72">
      <w:pPr>
        <w:pStyle w:val="rvps2"/>
        <w:spacing w:before="0" w:beforeAutospacing="0" w:after="0" w:afterAutospacing="0"/>
        <w:jc w:val="both"/>
        <w:rPr>
          <w:color w:val="000000" w:themeColor="text1"/>
          <w:lang w:val="uk-UA"/>
        </w:rPr>
      </w:pPr>
    </w:p>
    <w:p w:rsidR="00295C72" w:rsidRPr="006E698E" w:rsidRDefault="00295C72" w:rsidP="00295C72">
      <w:pPr>
        <w:pStyle w:val="rvps2"/>
        <w:numPr>
          <w:ilvl w:val="0"/>
          <w:numId w:val="2"/>
        </w:numPr>
        <w:spacing w:before="0" w:beforeAutospacing="0" w:after="0" w:afterAutospacing="0"/>
        <w:ind w:left="567" w:hanging="567"/>
        <w:jc w:val="both"/>
        <w:rPr>
          <w:color w:val="000000" w:themeColor="text1"/>
          <w:lang w:val="uk-UA"/>
        </w:rPr>
      </w:pPr>
      <w:r w:rsidRPr="006E698E">
        <w:rPr>
          <w:lang w:val="uk-UA"/>
        </w:rPr>
        <w:t>На Підприємстві бухгалтерський облік ведеться відповідно до наказу від 04.01.2021         №</w:t>
      </w:r>
      <w:r w:rsidR="00900391">
        <w:rPr>
          <w:lang w:val="uk-UA"/>
        </w:rPr>
        <w:t> </w:t>
      </w:r>
      <w:r w:rsidRPr="006E698E">
        <w:rPr>
          <w:lang w:val="uk-UA"/>
        </w:rPr>
        <w:t xml:space="preserve">1 «Про облікову політику на Підприємстві». </w:t>
      </w:r>
      <w:r w:rsidRPr="006E698E">
        <w:rPr>
          <w:lang w:val="uk-UA" w:eastAsia="uk-UA"/>
        </w:rPr>
        <w:t xml:space="preserve">Усі отримані доходи в процесі своєї діяльності Отримувач </w:t>
      </w:r>
      <w:r w:rsidRPr="006E698E">
        <w:rPr>
          <w:color w:val="000000" w:themeColor="text1"/>
          <w:lang w:val="uk-UA" w:eastAsia="uk-UA"/>
        </w:rPr>
        <w:t xml:space="preserve">державної підтримки обліковує на окремих рахунках бухгалтерського обліку, а також окремо </w:t>
      </w:r>
      <w:r w:rsidR="00362ECA">
        <w:rPr>
          <w:color w:val="000000" w:themeColor="text1"/>
          <w:lang w:val="uk-UA" w:eastAsia="uk-UA"/>
        </w:rPr>
        <w:t>за</w:t>
      </w:r>
      <w:r w:rsidR="00362ECA" w:rsidRPr="006E698E">
        <w:rPr>
          <w:color w:val="000000" w:themeColor="text1"/>
          <w:lang w:val="uk-UA" w:eastAsia="uk-UA"/>
        </w:rPr>
        <w:t xml:space="preserve"> </w:t>
      </w:r>
      <w:r w:rsidRPr="006E698E">
        <w:rPr>
          <w:color w:val="000000" w:themeColor="text1"/>
          <w:lang w:val="uk-UA" w:eastAsia="uk-UA"/>
        </w:rPr>
        <w:t>рахунка</w:t>
      </w:r>
      <w:r w:rsidR="00362ECA">
        <w:rPr>
          <w:color w:val="000000" w:themeColor="text1"/>
          <w:lang w:val="uk-UA" w:eastAsia="uk-UA"/>
        </w:rPr>
        <w:t>ми</w:t>
      </w:r>
      <w:r w:rsidRPr="006E698E">
        <w:rPr>
          <w:color w:val="000000" w:themeColor="text1"/>
          <w:lang w:val="uk-UA" w:eastAsia="uk-UA"/>
        </w:rPr>
        <w:t xml:space="preserve"> списуються всі товарно-матеріальні цінності, роботи та послуги, які були придбані та оприбутковані Підприємством</w:t>
      </w:r>
      <w:r w:rsidRPr="006E698E">
        <w:rPr>
          <w:color w:val="000000" w:themeColor="text1"/>
          <w:lang w:val="uk-UA"/>
        </w:rPr>
        <w:t xml:space="preserve">, від яких залежить фактична собівартість наданих послуг. </w:t>
      </w:r>
    </w:p>
    <w:p w:rsidR="00295C72" w:rsidRPr="006E698E" w:rsidRDefault="00295C72" w:rsidP="00295C72">
      <w:pPr>
        <w:rPr>
          <w:color w:val="000000" w:themeColor="text1"/>
          <w:lang w:eastAsia="ru-RU"/>
        </w:rPr>
      </w:pPr>
    </w:p>
    <w:p w:rsidR="00295C72" w:rsidRPr="006E698E" w:rsidRDefault="00295C72" w:rsidP="00295C72">
      <w:pPr>
        <w:pStyle w:val="docdata"/>
        <w:numPr>
          <w:ilvl w:val="0"/>
          <w:numId w:val="2"/>
        </w:numPr>
        <w:spacing w:before="0" w:beforeAutospacing="0" w:after="0" w:afterAutospacing="0"/>
        <w:ind w:left="567" w:right="-1" w:hanging="567"/>
        <w:jc w:val="both"/>
        <w:rPr>
          <w:color w:val="000000" w:themeColor="text1"/>
        </w:rPr>
      </w:pPr>
      <w:r w:rsidRPr="006E698E">
        <w:rPr>
          <w:color w:val="000000" w:themeColor="text1"/>
          <w:lang w:eastAsia="ru-RU"/>
        </w:rPr>
        <w:t xml:space="preserve">На Підприємстві облік пільгових </w:t>
      </w:r>
      <w:proofErr w:type="spellStart"/>
      <w:r w:rsidRPr="006E698E">
        <w:rPr>
          <w:color w:val="000000" w:themeColor="text1"/>
          <w:lang w:eastAsia="ru-RU"/>
        </w:rPr>
        <w:t>категорій</w:t>
      </w:r>
      <w:proofErr w:type="spellEnd"/>
      <w:r w:rsidRPr="006E698E">
        <w:rPr>
          <w:color w:val="000000" w:themeColor="text1"/>
          <w:lang w:eastAsia="ru-RU"/>
        </w:rPr>
        <w:t xml:space="preserve"> населення </w:t>
      </w:r>
      <w:proofErr w:type="spellStart"/>
      <w:r w:rsidRPr="006E698E">
        <w:rPr>
          <w:color w:val="000000" w:themeColor="text1"/>
          <w:lang w:eastAsia="ru-RU"/>
        </w:rPr>
        <w:t>здійсню</w:t>
      </w:r>
      <w:r w:rsidR="00362ECA">
        <w:rPr>
          <w:color w:val="000000" w:themeColor="text1"/>
          <w:lang w:eastAsia="ru-RU"/>
        </w:rPr>
        <w:t>ють</w:t>
      </w:r>
      <w:proofErr w:type="spellEnd"/>
      <w:r w:rsidRPr="006E698E">
        <w:rPr>
          <w:color w:val="000000" w:themeColor="text1"/>
          <w:lang w:eastAsia="ru-RU"/>
        </w:rPr>
        <w:t xml:space="preserve"> кондуктори громадського транспорту, а в період обмежувальних заходів </w:t>
      </w:r>
      <w:r w:rsidRPr="006E698E">
        <w:rPr>
          <w:color w:val="000000" w:themeColor="text1"/>
        </w:rPr>
        <w:t xml:space="preserve">– </w:t>
      </w:r>
      <w:r w:rsidRPr="006E698E">
        <w:rPr>
          <w:color w:val="000000" w:themeColor="text1"/>
          <w:lang w:eastAsia="ru-RU"/>
        </w:rPr>
        <w:t>воді</w:t>
      </w:r>
      <w:r w:rsidR="00362ECA">
        <w:rPr>
          <w:color w:val="000000" w:themeColor="text1"/>
          <w:lang w:eastAsia="ru-RU"/>
        </w:rPr>
        <w:t>ї</w:t>
      </w:r>
      <w:r w:rsidRPr="006E698E">
        <w:rPr>
          <w:color w:val="000000" w:themeColor="text1"/>
          <w:lang w:eastAsia="ru-RU"/>
        </w:rPr>
        <w:t xml:space="preserve"> </w:t>
      </w:r>
      <w:proofErr w:type="spellStart"/>
      <w:r w:rsidRPr="006E698E">
        <w:rPr>
          <w:color w:val="000000" w:themeColor="text1"/>
          <w:lang w:eastAsia="ru-RU"/>
        </w:rPr>
        <w:t>тролейбусів</w:t>
      </w:r>
      <w:proofErr w:type="spellEnd"/>
      <w:r w:rsidRPr="006E698E">
        <w:rPr>
          <w:color w:val="000000" w:themeColor="text1"/>
          <w:lang w:eastAsia="ru-RU"/>
        </w:rPr>
        <w:t xml:space="preserve"> шляхом видачі квитків на пільговий проїзд встановленого зразка на Підприємстві, дані підсумовуються протягом місяця та обліковуються в акті на видачу разових абонементних квитків пасажирам (</w:t>
      </w:r>
      <w:r w:rsidR="00362ECA">
        <w:rPr>
          <w:color w:val="000000" w:themeColor="text1"/>
          <w:lang w:eastAsia="ru-RU"/>
        </w:rPr>
        <w:t>у</w:t>
      </w:r>
      <w:r w:rsidR="00362ECA" w:rsidRPr="006E698E">
        <w:rPr>
          <w:color w:val="000000" w:themeColor="text1"/>
          <w:lang w:eastAsia="ru-RU"/>
        </w:rPr>
        <w:t xml:space="preserve"> </w:t>
      </w:r>
      <w:r w:rsidRPr="006E698E">
        <w:rPr>
          <w:color w:val="000000" w:themeColor="text1"/>
          <w:lang w:eastAsia="ru-RU"/>
        </w:rPr>
        <w:t xml:space="preserve">розрізі кожної особи, </w:t>
      </w:r>
      <w:r w:rsidR="00362ECA">
        <w:rPr>
          <w:color w:val="000000" w:themeColor="text1"/>
          <w:lang w:eastAsia="ru-RU"/>
        </w:rPr>
        <w:t>що</w:t>
      </w:r>
      <w:r w:rsidRPr="006E698E">
        <w:rPr>
          <w:color w:val="000000" w:themeColor="text1"/>
          <w:lang w:eastAsia="ru-RU"/>
        </w:rPr>
        <w:t xml:space="preserve"> вида</w:t>
      </w:r>
      <w:r w:rsidR="00362ECA">
        <w:rPr>
          <w:color w:val="000000" w:themeColor="text1"/>
          <w:lang w:eastAsia="ru-RU"/>
        </w:rPr>
        <w:t>вала</w:t>
      </w:r>
      <w:r w:rsidRPr="006E698E">
        <w:rPr>
          <w:color w:val="000000" w:themeColor="text1"/>
          <w:lang w:eastAsia="ru-RU"/>
        </w:rPr>
        <w:t xml:space="preserve"> квитк</w:t>
      </w:r>
      <w:r w:rsidR="00362ECA">
        <w:rPr>
          <w:color w:val="000000" w:themeColor="text1"/>
          <w:lang w:eastAsia="ru-RU"/>
        </w:rPr>
        <w:t>и</w:t>
      </w:r>
      <w:r w:rsidRPr="006E698E">
        <w:rPr>
          <w:color w:val="000000" w:themeColor="text1"/>
          <w:lang w:eastAsia="ru-RU"/>
        </w:rPr>
        <w:t>), які мають право на пільговий проїзд (вказана кількість перевезених пільгових пасажирів)</w:t>
      </w:r>
      <w:r w:rsidR="001E4F3E">
        <w:rPr>
          <w:color w:val="000000" w:themeColor="text1"/>
          <w:lang w:eastAsia="ru-RU"/>
        </w:rPr>
        <w:t>,</w:t>
      </w:r>
      <w:r w:rsidRPr="006E698E">
        <w:rPr>
          <w:color w:val="000000" w:themeColor="text1"/>
          <w:lang w:eastAsia="ru-RU"/>
        </w:rPr>
        <w:t xml:space="preserve"> та відповідно до акт</w:t>
      </w:r>
      <w:r w:rsidR="001E4F3E">
        <w:rPr>
          <w:color w:val="000000" w:themeColor="text1"/>
          <w:lang w:eastAsia="ru-RU"/>
        </w:rPr>
        <w:t>а</w:t>
      </w:r>
      <w:r w:rsidRPr="006E698E">
        <w:rPr>
          <w:color w:val="000000" w:themeColor="text1"/>
          <w:lang w:eastAsia="ru-RU"/>
        </w:rPr>
        <w:t xml:space="preserve"> складається розрахунок обсягів відшкодування витрат за пільговий проїзд у міському електричному транспорті, в якому вказується сума відшкодувань за пільгові перевезення. Ці розрахунки разом </w:t>
      </w:r>
      <w:r w:rsidR="001E4F3E">
        <w:rPr>
          <w:color w:val="000000" w:themeColor="text1"/>
          <w:lang w:eastAsia="ru-RU"/>
        </w:rPr>
        <w:t>і</w:t>
      </w:r>
      <w:r w:rsidRPr="006E698E">
        <w:rPr>
          <w:color w:val="000000" w:themeColor="text1"/>
          <w:lang w:eastAsia="ru-RU"/>
        </w:rPr>
        <w:t>з листом та актом звірки розрахунків надаються щомісячно Управлінн</w:t>
      </w:r>
      <w:r w:rsidR="00900391">
        <w:rPr>
          <w:color w:val="000000" w:themeColor="text1"/>
          <w:lang w:eastAsia="ru-RU"/>
        </w:rPr>
        <w:t>ю</w:t>
      </w:r>
      <w:r w:rsidRPr="006E698E">
        <w:rPr>
          <w:color w:val="000000" w:themeColor="text1"/>
          <w:lang w:eastAsia="ru-RU"/>
        </w:rPr>
        <w:t xml:space="preserve"> соціального захисту населення Білоцерківської міської ради, відповідно до </w:t>
      </w:r>
      <w:r w:rsidR="00F553C7">
        <w:rPr>
          <w:color w:val="000000" w:themeColor="text1"/>
          <w:lang w:eastAsia="ru-RU"/>
        </w:rPr>
        <w:t>цих документів</w:t>
      </w:r>
      <w:r w:rsidR="00F553C7" w:rsidRPr="006E698E">
        <w:rPr>
          <w:color w:val="000000" w:themeColor="text1"/>
          <w:lang w:eastAsia="ru-RU"/>
        </w:rPr>
        <w:t xml:space="preserve"> </w:t>
      </w:r>
      <w:r w:rsidRPr="006E698E">
        <w:rPr>
          <w:color w:val="000000" w:themeColor="text1"/>
          <w:lang w:eastAsia="ru-RU"/>
        </w:rPr>
        <w:t xml:space="preserve">здійснюється фінансування з місцевого бюджету. </w:t>
      </w:r>
    </w:p>
    <w:p w:rsidR="00295C72" w:rsidRPr="006E698E" w:rsidRDefault="00295C72" w:rsidP="00295C72">
      <w:pPr>
        <w:pStyle w:val="docdata"/>
        <w:spacing w:before="0" w:beforeAutospacing="0" w:after="0" w:afterAutospacing="0"/>
        <w:ind w:left="567" w:right="-1"/>
        <w:jc w:val="both"/>
        <w:rPr>
          <w:color w:val="000000" w:themeColor="text1"/>
        </w:rPr>
      </w:pPr>
    </w:p>
    <w:p w:rsidR="003E64BB" w:rsidRPr="006E698E" w:rsidRDefault="00295C72" w:rsidP="00295C72">
      <w:pPr>
        <w:pStyle w:val="a3"/>
        <w:numPr>
          <w:ilvl w:val="0"/>
          <w:numId w:val="2"/>
        </w:numPr>
        <w:autoSpaceDE w:val="0"/>
        <w:autoSpaceDN w:val="0"/>
        <w:adjustRightInd w:val="0"/>
        <w:ind w:left="567" w:hanging="567"/>
        <w:jc w:val="both"/>
        <w:rPr>
          <w:color w:val="000000" w:themeColor="text1"/>
        </w:rPr>
      </w:pPr>
      <w:r w:rsidRPr="006E698E">
        <w:rPr>
          <w:color w:val="000000" w:themeColor="text1"/>
          <w:lang w:eastAsia="ru-RU"/>
        </w:rPr>
        <w:t>Надавачем зазначено, що виділені кошти (або частина виділених коштів), які не буд</w:t>
      </w:r>
      <w:r w:rsidR="001E4F3E">
        <w:rPr>
          <w:color w:val="000000" w:themeColor="text1"/>
          <w:lang w:eastAsia="ru-RU"/>
        </w:rPr>
        <w:t>е</w:t>
      </w:r>
      <w:r w:rsidRPr="006E698E">
        <w:rPr>
          <w:color w:val="000000" w:themeColor="text1"/>
          <w:lang w:eastAsia="ru-RU"/>
        </w:rPr>
        <w:t xml:space="preserve"> освоєн</w:t>
      </w:r>
      <w:r w:rsidR="001E4F3E">
        <w:rPr>
          <w:color w:val="000000" w:themeColor="text1"/>
          <w:lang w:eastAsia="ru-RU"/>
        </w:rPr>
        <w:t>о</w:t>
      </w:r>
      <w:r w:rsidRPr="006E698E">
        <w:rPr>
          <w:color w:val="000000" w:themeColor="text1"/>
          <w:lang w:eastAsia="ru-RU"/>
        </w:rPr>
        <w:t xml:space="preserve"> протягом року, будуть повернені до міського бюджету згідно </w:t>
      </w:r>
      <w:r w:rsidR="001E4F3E">
        <w:rPr>
          <w:color w:val="000000" w:themeColor="text1"/>
          <w:lang w:eastAsia="ru-RU"/>
        </w:rPr>
        <w:t xml:space="preserve">з </w:t>
      </w:r>
      <w:r w:rsidRPr="006E698E">
        <w:rPr>
          <w:color w:val="000000" w:themeColor="text1"/>
          <w:lang w:eastAsia="ru-RU"/>
        </w:rPr>
        <w:t>чинн</w:t>
      </w:r>
      <w:r w:rsidR="001E4F3E">
        <w:rPr>
          <w:color w:val="000000" w:themeColor="text1"/>
          <w:lang w:eastAsia="ru-RU"/>
        </w:rPr>
        <w:t>им</w:t>
      </w:r>
      <w:r w:rsidRPr="006E698E">
        <w:rPr>
          <w:color w:val="000000" w:themeColor="text1"/>
          <w:lang w:eastAsia="ru-RU"/>
        </w:rPr>
        <w:t xml:space="preserve"> законодавств</w:t>
      </w:r>
      <w:r w:rsidR="001E4F3E">
        <w:rPr>
          <w:color w:val="000000" w:themeColor="text1"/>
          <w:lang w:eastAsia="ru-RU"/>
        </w:rPr>
        <w:t>ом</w:t>
      </w:r>
      <w:r w:rsidRPr="006E698E">
        <w:rPr>
          <w:color w:val="000000" w:themeColor="text1"/>
          <w:lang w:eastAsia="ru-RU"/>
        </w:rPr>
        <w:t>. Контроль за цільовим використанням бюджетних коштів забезпечують головні розпорядники бюджетних коштів. Підприємство, яке отримує кошти з міського бюджету за результатами своєї діяльності, пода</w:t>
      </w:r>
      <w:r w:rsidR="001E4F3E">
        <w:rPr>
          <w:color w:val="000000" w:themeColor="text1"/>
          <w:lang w:eastAsia="ru-RU"/>
        </w:rPr>
        <w:t>є</w:t>
      </w:r>
      <w:r w:rsidRPr="006E698E">
        <w:rPr>
          <w:color w:val="000000" w:themeColor="text1"/>
          <w:lang w:eastAsia="ru-RU"/>
        </w:rPr>
        <w:t xml:space="preserve"> щомісячно до 10 числа місяця, що настає за звітним періодом, головному розпоряднику коштів міського бюджету фінансові звіти з пояснювальною запискою.</w:t>
      </w:r>
    </w:p>
    <w:p w:rsidR="003E64BB" w:rsidRDefault="003E64BB" w:rsidP="003E64BB">
      <w:pPr>
        <w:pStyle w:val="rvps2"/>
        <w:spacing w:before="0" w:beforeAutospacing="0" w:after="0" w:afterAutospacing="0"/>
        <w:jc w:val="both"/>
        <w:rPr>
          <w:color w:val="000000" w:themeColor="text1"/>
          <w:lang w:val="uk-UA" w:eastAsia="uk-UA"/>
        </w:rPr>
      </w:pPr>
    </w:p>
    <w:p w:rsidR="003E64BB" w:rsidRPr="006E698E"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6E698E">
        <w:rPr>
          <w:b/>
          <w:color w:val="000000" w:themeColor="text1"/>
          <w:lang w:val="uk-UA" w:eastAsia="uk-UA"/>
        </w:rPr>
        <w:t>НОРМАТИВНО-ПРАВОВЕ РЕГУЛЮВАННЯ</w:t>
      </w:r>
    </w:p>
    <w:p w:rsidR="003E64BB" w:rsidRPr="006E698E" w:rsidRDefault="003E64BB" w:rsidP="003E64BB">
      <w:pPr>
        <w:pStyle w:val="rvps2"/>
        <w:spacing w:before="0" w:beforeAutospacing="0" w:after="0" w:afterAutospacing="0"/>
        <w:ind w:left="567" w:hanging="567"/>
        <w:contextualSpacing/>
        <w:jc w:val="both"/>
        <w:rPr>
          <w:color w:val="000000" w:themeColor="text1"/>
          <w:lang w:val="uk-UA" w:eastAsia="uk-UA"/>
        </w:rPr>
      </w:pPr>
    </w:p>
    <w:p w:rsidR="00295C72" w:rsidRPr="006E698E" w:rsidRDefault="00295C72" w:rsidP="00295C72">
      <w:pPr>
        <w:numPr>
          <w:ilvl w:val="1"/>
          <w:numId w:val="1"/>
        </w:numPr>
        <w:ind w:left="567" w:hanging="567"/>
        <w:jc w:val="both"/>
        <w:rPr>
          <w:b/>
          <w:color w:val="000000" w:themeColor="text1"/>
        </w:rPr>
      </w:pPr>
      <w:r w:rsidRPr="006E698E">
        <w:rPr>
          <w:b/>
          <w:color w:val="000000" w:themeColor="text1"/>
        </w:rPr>
        <w:t>Щодо державної допомоги</w:t>
      </w:r>
    </w:p>
    <w:p w:rsidR="00295C72" w:rsidRPr="006E698E" w:rsidRDefault="00295C72" w:rsidP="00295C72">
      <w:pPr>
        <w:pStyle w:val="rvps2"/>
        <w:spacing w:before="0" w:beforeAutospacing="0" w:after="0" w:afterAutospacing="0"/>
        <w:ind w:left="567" w:hanging="567"/>
        <w:contextualSpacing/>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Отже, державна підтримка є державною допомогою, якщо одночасно виконуються такі умови:</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підтримка надається суб’єкту господарювання;</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державна підтримка здійснюється за рахунок ресурсів держави чи місцевих ресурсів;</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295C72" w:rsidRPr="006E698E" w:rsidRDefault="00295C72" w:rsidP="00295C72">
      <w:pPr>
        <w:pStyle w:val="rvps2"/>
        <w:numPr>
          <w:ilvl w:val="0"/>
          <w:numId w:val="3"/>
        </w:numPr>
        <w:spacing w:before="0" w:beforeAutospacing="0" w:after="0" w:afterAutospacing="0"/>
        <w:ind w:left="567" w:hanging="567"/>
        <w:contextualSpacing/>
        <w:jc w:val="both"/>
        <w:rPr>
          <w:lang w:val="uk-UA" w:eastAsia="uk-UA"/>
        </w:rPr>
      </w:pPr>
      <w:r w:rsidRPr="006E698E">
        <w:rPr>
          <w:lang w:val="uk-UA" w:eastAsia="uk-UA"/>
        </w:rPr>
        <w:t>підтримка спотворює або загрожує спотворенням економічної конкуренції.</w:t>
      </w:r>
    </w:p>
    <w:p w:rsidR="00295C72" w:rsidRPr="006E698E" w:rsidRDefault="00295C72" w:rsidP="00295C72">
      <w:pPr>
        <w:pStyle w:val="rvps2"/>
        <w:spacing w:before="0" w:beforeAutospacing="0" w:after="0" w:afterAutospacing="0"/>
        <w:contextualSpacing/>
        <w:jc w:val="both"/>
        <w:rPr>
          <w:lang w:val="uk-UA" w:eastAsia="uk-UA"/>
        </w:rPr>
      </w:pPr>
    </w:p>
    <w:p w:rsidR="00B17D70" w:rsidRDefault="00B17D70" w:rsidP="00295C72">
      <w:pPr>
        <w:pStyle w:val="rvps2"/>
        <w:spacing w:before="0" w:beforeAutospacing="0" w:after="0" w:afterAutospacing="0"/>
        <w:contextualSpacing/>
        <w:jc w:val="both"/>
        <w:rPr>
          <w:lang w:val="uk-UA" w:eastAsia="uk-UA"/>
        </w:rPr>
      </w:pPr>
    </w:p>
    <w:p w:rsidR="0078634A" w:rsidRPr="006E698E" w:rsidRDefault="0078634A" w:rsidP="00295C72">
      <w:pPr>
        <w:pStyle w:val="rvps2"/>
        <w:spacing w:before="0" w:beforeAutospacing="0" w:after="0" w:afterAutospacing="0"/>
        <w:contextualSpacing/>
        <w:jc w:val="both"/>
        <w:rPr>
          <w:lang w:val="uk-UA" w:eastAsia="uk-UA"/>
        </w:rPr>
      </w:pPr>
    </w:p>
    <w:p w:rsidR="00295C72" w:rsidRPr="006E698E" w:rsidRDefault="00295C72" w:rsidP="00295C72">
      <w:pPr>
        <w:pStyle w:val="rvps2"/>
        <w:numPr>
          <w:ilvl w:val="1"/>
          <w:numId w:val="1"/>
        </w:numPr>
        <w:spacing w:before="0" w:beforeAutospacing="0" w:after="0" w:afterAutospacing="0"/>
        <w:ind w:left="567" w:hanging="567"/>
        <w:jc w:val="both"/>
        <w:rPr>
          <w:b/>
          <w:lang w:val="uk-UA" w:eastAsia="uk-UA"/>
        </w:rPr>
      </w:pPr>
      <w:r w:rsidRPr="006E698E">
        <w:rPr>
          <w:b/>
          <w:lang w:val="uk-UA" w:eastAsia="uk-UA"/>
        </w:rPr>
        <w:lastRenderedPageBreak/>
        <w:t>Послуги, що становлять загальний економічний інтерес</w:t>
      </w:r>
    </w:p>
    <w:p w:rsidR="00295C72" w:rsidRPr="006E698E" w:rsidRDefault="00295C72" w:rsidP="00295C72">
      <w:pPr>
        <w:pStyle w:val="rvps2"/>
        <w:spacing w:before="0" w:beforeAutospacing="0" w:after="0" w:afterAutospacing="0"/>
        <w:ind w:left="567" w:hanging="567"/>
        <w:jc w:val="both"/>
        <w:rPr>
          <w:b/>
          <w:lang w:val="uk-UA" w:eastAsia="uk-UA"/>
        </w:rPr>
      </w:pPr>
    </w:p>
    <w:p w:rsidR="00295C72" w:rsidRPr="006E698E" w:rsidRDefault="00295C72" w:rsidP="00295C72">
      <w:pPr>
        <w:pStyle w:val="rvps2"/>
        <w:numPr>
          <w:ilvl w:val="0"/>
          <w:numId w:val="2"/>
        </w:numPr>
        <w:spacing w:before="0" w:beforeAutospacing="0" w:after="0" w:afterAutospacing="0"/>
        <w:ind w:left="567" w:hanging="567"/>
        <w:contextualSpacing/>
        <w:jc w:val="both"/>
        <w:rPr>
          <w:lang w:val="uk-UA" w:eastAsia="uk-UA"/>
        </w:rPr>
      </w:pPr>
      <w:r w:rsidRPr="006E698E">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(далі – ПЗЕІ).</w:t>
      </w:r>
    </w:p>
    <w:p w:rsidR="00295C72" w:rsidRPr="006E698E" w:rsidRDefault="00295C72" w:rsidP="00295C72">
      <w:pPr>
        <w:pStyle w:val="rvps2"/>
        <w:spacing w:before="0" w:beforeAutospacing="0" w:after="0" w:afterAutospacing="0"/>
        <w:ind w:left="567"/>
        <w:contextualSpacing/>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contextualSpacing/>
        <w:jc w:val="both"/>
        <w:rPr>
          <w:lang w:val="uk-UA" w:eastAsia="uk-UA"/>
        </w:rPr>
      </w:pPr>
      <w:r w:rsidRPr="006E698E">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295C72" w:rsidRPr="006E698E" w:rsidRDefault="00295C72" w:rsidP="00295C72">
      <w:pPr>
        <w:pStyle w:val="a3"/>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295C72" w:rsidRPr="006E698E" w:rsidRDefault="00295C72" w:rsidP="00295C72">
      <w:pPr>
        <w:pStyle w:val="a3"/>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295C72" w:rsidRPr="006E698E" w:rsidRDefault="00295C72" w:rsidP="00295C72">
      <w:pPr>
        <w:pStyle w:val="a3"/>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295C72" w:rsidRPr="006E698E" w:rsidRDefault="00295C72" w:rsidP="00295C72">
      <w:pPr>
        <w:pStyle w:val="rvps2"/>
        <w:numPr>
          <w:ilvl w:val="0"/>
          <w:numId w:val="39"/>
        </w:numPr>
        <w:spacing w:before="0" w:beforeAutospacing="0" w:after="0" w:afterAutospacing="0"/>
        <w:ind w:left="567" w:hanging="567"/>
        <w:jc w:val="both"/>
        <w:rPr>
          <w:lang w:val="uk-UA" w:eastAsia="uk-UA"/>
        </w:rPr>
      </w:pPr>
      <w:r w:rsidRPr="006E698E">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295C72" w:rsidRPr="006E698E" w:rsidRDefault="00295C72" w:rsidP="00295C72">
      <w:pPr>
        <w:pStyle w:val="rvps2"/>
        <w:numPr>
          <w:ilvl w:val="0"/>
          <w:numId w:val="39"/>
        </w:numPr>
        <w:spacing w:before="0" w:beforeAutospacing="0" w:after="0" w:afterAutospacing="0"/>
        <w:ind w:left="567" w:hanging="567"/>
        <w:jc w:val="both"/>
        <w:rPr>
          <w:lang w:val="uk-UA" w:eastAsia="uk-UA"/>
        </w:rPr>
      </w:pPr>
      <w:r w:rsidRPr="006E698E">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lastRenderedPageBreak/>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295C72" w:rsidRPr="006E698E" w:rsidRDefault="00295C72" w:rsidP="00295C72"/>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w:t>
      </w:r>
      <w:r w:rsidR="00812D5A">
        <w:rPr>
          <w:lang w:val="uk-UA"/>
        </w:rPr>
        <w:t>,</w:t>
      </w:r>
      <w:r w:rsidRPr="006E698E">
        <w:rPr>
          <w:lang w:val="uk-UA"/>
        </w:rPr>
        <w:t xml:space="preserve">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295C72" w:rsidRPr="006E698E" w:rsidRDefault="00295C72" w:rsidP="00295C72">
      <w:pPr>
        <w:pStyle w:val="a3"/>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295C72" w:rsidRPr="006E698E" w:rsidRDefault="00295C72" w:rsidP="00295C72">
      <w:pPr>
        <w:pStyle w:val="a3"/>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Додатково, відповідно до рішення Європейського суду від 24.07.2003 № С-280/00 Altmark Trans Gmbh, Regierungspräsidium Magdeburg v Nahverkehrsgesellschaft Altmark Gmbh (</w:t>
      </w:r>
      <w:r w:rsidRPr="006E698E">
        <w:rPr>
          <w:lang w:val="uk-UA"/>
        </w:rPr>
        <w:t xml:space="preserve">далі – Рішення у справі </w:t>
      </w:r>
      <w:r w:rsidRPr="006E698E">
        <w:rPr>
          <w:lang w:val="uk-UA" w:eastAsia="uk-UA"/>
        </w:rPr>
        <w:t>Altmark, критерії Altmark</w:t>
      </w:r>
      <w:r w:rsidRPr="006E698E">
        <w:rPr>
          <w:lang w:val="uk-UA"/>
        </w:rPr>
        <w:t>)</w:t>
      </w:r>
      <w:r w:rsidRPr="006E698E">
        <w:rPr>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295C72" w:rsidRPr="006E698E" w:rsidRDefault="00295C72" w:rsidP="00295C72">
      <w:pPr>
        <w:pStyle w:val="rvps2"/>
        <w:spacing w:before="0" w:beforeAutospacing="0" w:after="0" w:afterAutospacing="0"/>
        <w:ind w:left="567" w:hanging="567"/>
        <w:jc w:val="both"/>
        <w:rPr>
          <w:lang w:val="uk-UA" w:eastAsia="uk-UA"/>
        </w:rPr>
      </w:pPr>
      <w:r w:rsidRPr="006E698E">
        <w:rPr>
          <w:lang w:val="uk-UA" w:eastAsia="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295C72" w:rsidRPr="006E698E" w:rsidRDefault="00295C72" w:rsidP="00295C72">
      <w:pPr>
        <w:pStyle w:val="rvps2"/>
        <w:numPr>
          <w:ilvl w:val="0"/>
          <w:numId w:val="40"/>
        </w:numPr>
        <w:spacing w:before="0" w:beforeAutospacing="0" w:after="0" w:afterAutospacing="0"/>
        <w:ind w:left="567" w:hanging="567"/>
        <w:jc w:val="both"/>
        <w:rPr>
          <w:lang w:val="uk-UA" w:eastAsia="uk-UA"/>
        </w:rPr>
      </w:pPr>
      <w:r w:rsidRPr="006E698E">
        <w:rPr>
          <w:lang w:val="uk-UA" w:eastAsia="uk-UA"/>
        </w:rPr>
        <w:t>суб’єкт господарювання повинен виконувати зобов’язання з обслуговування населення, і ці зобов</w:t>
      </w:r>
      <w:r w:rsidR="00EA6633">
        <w:rPr>
          <w:lang w:val="uk-UA" w:eastAsia="uk-UA"/>
        </w:rPr>
        <w:t>’</w:t>
      </w:r>
      <w:r w:rsidRPr="006E698E">
        <w:rPr>
          <w:lang w:val="uk-UA" w:eastAsia="uk-UA"/>
        </w:rPr>
        <w:t>язання чітко встановлені та визначені;</w:t>
      </w:r>
    </w:p>
    <w:p w:rsidR="00295C72" w:rsidRPr="006E698E" w:rsidRDefault="00295C72" w:rsidP="00295C72">
      <w:pPr>
        <w:pStyle w:val="rvps2"/>
        <w:numPr>
          <w:ilvl w:val="0"/>
          <w:numId w:val="40"/>
        </w:numPr>
        <w:spacing w:before="0" w:beforeAutospacing="0" w:after="0" w:afterAutospacing="0"/>
        <w:ind w:left="567" w:hanging="567"/>
        <w:jc w:val="both"/>
        <w:rPr>
          <w:lang w:val="uk-UA" w:eastAsia="uk-UA"/>
        </w:rPr>
      </w:pPr>
      <w:r w:rsidRPr="006E698E">
        <w:rPr>
          <w:lang w:val="uk-UA" w:eastAsia="uk-UA"/>
        </w:rPr>
        <w:t>параметри, на підставі яких розраховується компенсація, визначені заздалегідь об’єктивним і прозорим способом;</w:t>
      </w:r>
    </w:p>
    <w:p w:rsidR="00295C72" w:rsidRPr="006E698E" w:rsidRDefault="00295C72" w:rsidP="00295C72">
      <w:pPr>
        <w:pStyle w:val="rvps2"/>
        <w:numPr>
          <w:ilvl w:val="0"/>
          <w:numId w:val="40"/>
        </w:numPr>
        <w:spacing w:before="0" w:beforeAutospacing="0" w:after="0" w:afterAutospacing="0"/>
        <w:ind w:left="567" w:hanging="567"/>
        <w:jc w:val="both"/>
        <w:rPr>
          <w:lang w:val="uk-UA" w:eastAsia="uk-UA"/>
        </w:rPr>
      </w:pPr>
      <w:r w:rsidRPr="006E698E">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295C72" w:rsidRPr="006E698E" w:rsidRDefault="00295C72" w:rsidP="00295C72">
      <w:pPr>
        <w:pStyle w:val="a3"/>
        <w:numPr>
          <w:ilvl w:val="0"/>
          <w:numId w:val="40"/>
        </w:numPr>
        <w:ind w:left="567" w:hanging="567"/>
        <w:jc w:val="both"/>
      </w:pPr>
      <w:r w:rsidRPr="006E698E">
        <w:t>суб’єкт господарювання, який надає ці послуги, повинен бути обраний шляхом проведення процедури публічних закупівель. Якщо так</w:t>
      </w:r>
      <w:r w:rsidR="00EA6633">
        <w:t>ої</w:t>
      </w:r>
      <w:r w:rsidRPr="006E698E">
        <w:t xml:space="preserve"> процедур</w:t>
      </w:r>
      <w:r w:rsidR="00EA6633">
        <w:t>и</w:t>
      </w:r>
      <w:r w:rsidRPr="006E698E">
        <w:t xml:space="preserve"> не бул</w:t>
      </w:r>
      <w:r w:rsidR="00EA6633">
        <w:t>о</w:t>
      </w:r>
      <w:r w:rsidRPr="006E698E">
        <w:t xml:space="preserve"> дотриман</w:t>
      </w:r>
      <w:r w:rsidR="00EA6633">
        <w:t>о</w:t>
      </w:r>
      <w:r w:rsidRPr="006E698E">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295C72" w:rsidRPr="006E698E" w:rsidRDefault="00295C72" w:rsidP="00295C72">
      <w:pPr>
        <w:pStyle w:val="a3"/>
        <w:ind w:left="567"/>
        <w:jc w:val="both"/>
      </w:pPr>
    </w:p>
    <w:p w:rsidR="00295C72" w:rsidRPr="006E698E" w:rsidRDefault="00295C72" w:rsidP="00295C72">
      <w:pPr>
        <w:pStyle w:val="a3"/>
        <w:numPr>
          <w:ilvl w:val="0"/>
          <w:numId w:val="2"/>
        </w:numPr>
        <w:ind w:left="567" w:hanging="567"/>
        <w:contextualSpacing w:val="0"/>
        <w:jc w:val="both"/>
      </w:pPr>
      <w:r w:rsidRPr="006E698E">
        <w:lastRenderedPageBreak/>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ПЗЕІ. </w:t>
      </w:r>
    </w:p>
    <w:p w:rsidR="00295C72" w:rsidRPr="006E698E" w:rsidRDefault="00295C72" w:rsidP="00295C72">
      <w:pPr>
        <w:pStyle w:val="a3"/>
        <w:ind w:left="567" w:hanging="567"/>
        <w:jc w:val="both"/>
      </w:pPr>
    </w:p>
    <w:p w:rsidR="00295C72" w:rsidRPr="006E698E" w:rsidRDefault="00295C72" w:rsidP="00295C72">
      <w:pPr>
        <w:pStyle w:val="a3"/>
        <w:numPr>
          <w:ilvl w:val="0"/>
          <w:numId w:val="2"/>
        </w:numPr>
        <w:ind w:left="567" w:hanging="567"/>
        <w:contextualSpacing w:val="0"/>
        <w:jc w:val="both"/>
        <w:rPr>
          <w:color w:val="212121"/>
        </w:rPr>
      </w:pPr>
      <w:r w:rsidRPr="006E698E">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rsidR="00B17D70" w:rsidRPr="006E698E" w:rsidRDefault="00B17D70" w:rsidP="00B17D70">
      <w:pPr>
        <w:pStyle w:val="a3"/>
        <w:ind w:left="567"/>
        <w:contextualSpacing w:val="0"/>
        <w:jc w:val="both"/>
        <w:rPr>
          <w:color w:val="212121"/>
        </w:rPr>
      </w:pPr>
    </w:p>
    <w:p w:rsidR="00295C72" w:rsidRPr="006E698E" w:rsidRDefault="00295C72" w:rsidP="00295C72">
      <w:pPr>
        <w:pStyle w:val="a3"/>
        <w:numPr>
          <w:ilvl w:val="0"/>
          <w:numId w:val="2"/>
        </w:numPr>
        <w:ind w:left="567" w:hanging="567"/>
        <w:contextualSpacing w:val="0"/>
        <w:jc w:val="both"/>
      </w:pPr>
      <w:r w:rsidRPr="006E698E">
        <w:t>Відповідно до пунктів 45</w:t>
      </w:r>
      <w:r w:rsidR="00EA6633">
        <w:t xml:space="preserve"> – </w:t>
      </w:r>
      <w:r w:rsidRPr="006E698E">
        <w:t>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295C72" w:rsidRPr="006E698E" w:rsidRDefault="00295C72" w:rsidP="00295C72">
      <w:pPr>
        <w:pStyle w:val="a3"/>
        <w:ind w:left="567" w:hanging="567"/>
        <w:jc w:val="both"/>
      </w:pPr>
    </w:p>
    <w:p w:rsidR="00295C72" w:rsidRPr="006E698E" w:rsidRDefault="00295C72" w:rsidP="00295C72">
      <w:pPr>
        <w:pStyle w:val="a3"/>
        <w:numPr>
          <w:ilvl w:val="0"/>
          <w:numId w:val="2"/>
        </w:numPr>
        <w:ind w:left="567" w:hanging="567"/>
        <w:contextualSpacing w:val="0"/>
        <w:jc w:val="both"/>
      </w:pPr>
      <w:r w:rsidRPr="006E698E">
        <w:t>Повідомленням Комісії також встановлено детальні правила, якими буде задовольнятис</w:t>
      </w:r>
      <w:r w:rsidR="00EA6633">
        <w:t>я</w:t>
      </w:r>
      <w:r w:rsidRPr="006E698E">
        <w:t xml:space="preserve"> кожен із критеріїв, передбачений Рішенням у справі Altmark.</w:t>
      </w:r>
    </w:p>
    <w:p w:rsidR="00295C72" w:rsidRPr="006E698E" w:rsidRDefault="00295C72" w:rsidP="00295C72">
      <w:pPr>
        <w:pStyle w:val="a3"/>
        <w:ind w:left="567" w:hanging="567"/>
        <w:jc w:val="both"/>
      </w:pPr>
    </w:p>
    <w:p w:rsidR="00295C72" w:rsidRPr="006E698E" w:rsidRDefault="00295C72" w:rsidP="00295C72">
      <w:pPr>
        <w:pStyle w:val="a3"/>
        <w:numPr>
          <w:ilvl w:val="0"/>
          <w:numId w:val="2"/>
        </w:numPr>
        <w:ind w:left="567" w:hanging="567"/>
        <w:contextualSpacing w:val="0"/>
        <w:jc w:val="both"/>
      </w:pPr>
      <w:r w:rsidRPr="006E698E">
        <w:t xml:space="preserve">Так, відповідно до </w:t>
      </w:r>
      <w:r w:rsidRPr="006E698E">
        <w:rPr>
          <w:u w:val="single"/>
        </w:rPr>
        <w:t>першого критерію</w:t>
      </w:r>
      <w:r w:rsidRPr="006E698E">
        <w:t xml:space="preserve"> Рішення у справі Altmark передбачено покладання на суб’єкта господарювання зобов’язань із надання ПЗЕІ, які мають бути чітко визначені. </w:t>
      </w:r>
    </w:p>
    <w:p w:rsidR="00295C72" w:rsidRPr="006E698E" w:rsidRDefault="00295C72" w:rsidP="00295C72">
      <w:pPr>
        <w:pStyle w:val="a3"/>
        <w:ind w:left="567" w:hanging="567"/>
        <w:jc w:val="both"/>
      </w:pPr>
      <w:r w:rsidRPr="006E698E">
        <w:t xml:space="preserve">          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 </w:t>
      </w:r>
    </w:p>
    <w:p w:rsidR="00295C72" w:rsidRPr="006E698E" w:rsidRDefault="00295C72" w:rsidP="00295C72">
      <w:pPr>
        <w:pStyle w:val="rvps2"/>
        <w:numPr>
          <w:ilvl w:val="0"/>
          <w:numId w:val="6"/>
        </w:numPr>
        <w:tabs>
          <w:tab w:val="clear" w:pos="1146"/>
          <w:tab w:val="num" w:pos="540"/>
        </w:tabs>
        <w:suppressAutoHyphens/>
        <w:spacing w:before="0" w:beforeAutospacing="0" w:after="0" w:afterAutospacing="0"/>
        <w:ind w:left="567" w:hanging="567"/>
        <w:jc w:val="both"/>
        <w:rPr>
          <w:lang w:val="uk-UA"/>
        </w:rPr>
      </w:pPr>
      <w:r w:rsidRPr="006E698E">
        <w:rPr>
          <w:lang w:val="uk-UA"/>
        </w:rPr>
        <w:t xml:space="preserve">зміст і тривалість зобов’язань із надання ПЗЕІ; </w:t>
      </w:r>
    </w:p>
    <w:p w:rsidR="00295C72" w:rsidRPr="006E698E" w:rsidRDefault="00295C72" w:rsidP="00295C72">
      <w:pPr>
        <w:pStyle w:val="rvps2"/>
        <w:numPr>
          <w:ilvl w:val="0"/>
          <w:numId w:val="6"/>
        </w:numPr>
        <w:tabs>
          <w:tab w:val="clear" w:pos="1146"/>
          <w:tab w:val="num" w:pos="540"/>
        </w:tabs>
        <w:suppressAutoHyphens/>
        <w:spacing w:before="0" w:beforeAutospacing="0" w:after="0" w:afterAutospacing="0"/>
        <w:ind w:left="567" w:hanging="567"/>
        <w:jc w:val="both"/>
        <w:rPr>
          <w:lang w:val="uk-UA"/>
        </w:rPr>
      </w:pPr>
      <w:r w:rsidRPr="006E698E">
        <w:rPr>
          <w:lang w:val="uk-UA"/>
        </w:rPr>
        <w:t xml:space="preserve">назву суб’єкта господарювання і, де це необхідно, територію, на яку поширюються його послуги; </w:t>
      </w:r>
    </w:p>
    <w:p w:rsidR="00295C72" w:rsidRPr="006E698E" w:rsidRDefault="00295C72" w:rsidP="00295C72">
      <w:pPr>
        <w:pStyle w:val="rvps2"/>
        <w:numPr>
          <w:ilvl w:val="0"/>
          <w:numId w:val="6"/>
        </w:numPr>
        <w:tabs>
          <w:tab w:val="clear" w:pos="1146"/>
          <w:tab w:val="num" w:pos="540"/>
        </w:tabs>
        <w:suppressAutoHyphens/>
        <w:spacing w:before="0" w:beforeAutospacing="0" w:after="0" w:afterAutospacing="0"/>
        <w:ind w:left="567" w:hanging="567"/>
        <w:jc w:val="both"/>
        <w:rPr>
          <w:lang w:val="uk-UA"/>
        </w:rPr>
      </w:pPr>
      <w:r w:rsidRPr="006E698E">
        <w:rPr>
          <w:lang w:val="uk-UA"/>
        </w:rPr>
        <w:t>характер будь-яких виключних або спеціальних прав, які було надано державним органом влади суб’єкту господарювання щодо ПЗЕІ;</w:t>
      </w:r>
    </w:p>
    <w:p w:rsidR="00295C72" w:rsidRPr="006E698E" w:rsidRDefault="00295C72" w:rsidP="00295C72">
      <w:pPr>
        <w:pStyle w:val="rvps2"/>
        <w:numPr>
          <w:ilvl w:val="0"/>
          <w:numId w:val="6"/>
        </w:numPr>
        <w:tabs>
          <w:tab w:val="clear" w:pos="1146"/>
          <w:tab w:val="num" w:pos="540"/>
        </w:tabs>
        <w:suppressAutoHyphens/>
        <w:spacing w:before="0" w:beforeAutospacing="0" w:after="0" w:afterAutospacing="0"/>
        <w:ind w:left="567" w:hanging="567"/>
        <w:jc w:val="both"/>
        <w:rPr>
          <w:lang w:val="uk-UA"/>
        </w:rPr>
      </w:pPr>
      <w:r w:rsidRPr="006E698E">
        <w:rPr>
          <w:lang w:val="uk-UA"/>
        </w:rPr>
        <w:t xml:space="preserve">методику розрахунку компенсації, контролю та перегляду компенсації; </w:t>
      </w:r>
    </w:p>
    <w:p w:rsidR="00295C72" w:rsidRPr="006E698E" w:rsidRDefault="00295C72" w:rsidP="00295C72">
      <w:pPr>
        <w:pStyle w:val="rvps2"/>
        <w:numPr>
          <w:ilvl w:val="0"/>
          <w:numId w:val="6"/>
        </w:numPr>
        <w:tabs>
          <w:tab w:val="clear" w:pos="1146"/>
          <w:tab w:val="num" w:pos="540"/>
        </w:tabs>
        <w:suppressAutoHyphens/>
        <w:spacing w:before="0" w:beforeAutospacing="0" w:after="0" w:afterAutospacing="0"/>
        <w:ind w:left="567" w:hanging="567"/>
        <w:jc w:val="both"/>
        <w:rPr>
          <w:lang w:val="uk-UA"/>
        </w:rPr>
      </w:pPr>
      <w:r w:rsidRPr="006E698E">
        <w:rPr>
          <w:lang w:val="uk-UA"/>
        </w:rPr>
        <w:t>механізм для уникнення й повернення надмірної компенсації.</w:t>
      </w:r>
    </w:p>
    <w:p w:rsidR="00295C72" w:rsidRPr="006E698E" w:rsidRDefault="00295C72" w:rsidP="00295C72">
      <w:pPr>
        <w:pStyle w:val="rvps2"/>
        <w:spacing w:before="0" w:beforeAutospacing="0" w:after="0" w:afterAutospacing="0"/>
        <w:ind w:left="567" w:hanging="567"/>
        <w:jc w:val="both"/>
        <w:rPr>
          <w:lang w:val="uk-UA"/>
        </w:rPr>
      </w:pPr>
    </w:p>
    <w:p w:rsidR="00295C72" w:rsidRPr="006E698E" w:rsidRDefault="00295C72" w:rsidP="00295C72">
      <w:pPr>
        <w:pStyle w:val="a3"/>
        <w:numPr>
          <w:ilvl w:val="0"/>
          <w:numId w:val="2"/>
        </w:numPr>
        <w:ind w:left="567" w:hanging="567"/>
        <w:contextualSpacing w:val="0"/>
        <w:jc w:val="both"/>
      </w:pPr>
      <w:r w:rsidRPr="006E698E">
        <w:t xml:space="preserve">Зміст </w:t>
      </w:r>
      <w:r w:rsidRPr="006E698E">
        <w:rPr>
          <w:u w:val="single"/>
        </w:rPr>
        <w:t>другого критерію</w:t>
      </w:r>
      <w:r w:rsidRPr="006E698E">
        <w:t xml:space="preserve"> Рішення у справі Altmark розкрито в розділі 3.4 Повідомлення Комісії.</w:t>
      </w:r>
    </w:p>
    <w:p w:rsidR="00295C72" w:rsidRPr="006E698E" w:rsidRDefault="00295C72" w:rsidP="00295C72">
      <w:pPr>
        <w:pStyle w:val="a3"/>
        <w:ind w:left="567" w:hanging="567"/>
        <w:jc w:val="both"/>
      </w:pPr>
    </w:p>
    <w:p w:rsidR="00295C72" w:rsidRPr="006E698E" w:rsidRDefault="00295C72" w:rsidP="00295C72">
      <w:pPr>
        <w:pStyle w:val="a3"/>
        <w:numPr>
          <w:ilvl w:val="0"/>
          <w:numId w:val="2"/>
        </w:numPr>
        <w:ind w:left="567" w:hanging="567"/>
        <w:contextualSpacing w:val="0"/>
        <w:jc w:val="both"/>
      </w:pPr>
      <w:r w:rsidRPr="006E698E">
        <w:t xml:space="preserve">Відповідно до пунктів 54 </w:t>
      </w:r>
      <w:r w:rsidR="009566CA">
        <w:t>–</w:t>
      </w:r>
      <w:r w:rsidRPr="006E698E">
        <w:t xml:space="preserve"> 55 Повідомлення Комісії методика, за якою розраховується розмір компенсації, повинна бути визначена заздалегідь об’єктивним та прозорим способом </w:t>
      </w:r>
      <w:r w:rsidR="009566CA">
        <w:t>і</w:t>
      </w:r>
      <w:r w:rsidRPr="006E698E">
        <w:t>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w:t>
      </w:r>
      <w:r w:rsidR="009566CA">
        <w:t>я</w:t>
      </w:r>
      <w:r w:rsidRPr="006E698E">
        <w:t xml:space="preserve"> відповідно до певної формули, важливим є виключно те, щоб із самого початку було очевидно, яким способом компенсація буде розраховуватись.</w:t>
      </w:r>
    </w:p>
    <w:p w:rsidR="00295C72" w:rsidRPr="006E698E" w:rsidRDefault="00295C72" w:rsidP="00295C72">
      <w:pPr>
        <w:pStyle w:val="a3"/>
        <w:ind w:left="567" w:hanging="567"/>
        <w:jc w:val="both"/>
      </w:pPr>
    </w:p>
    <w:p w:rsidR="00295C72" w:rsidRPr="006E698E" w:rsidRDefault="00295C72" w:rsidP="00295C72">
      <w:pPr>
        <w:pStyle w:val="a3"/>
        <w:numPr>
          <w:ilvl w:val="0"/>
          <w:numId w:val="2"/>
        </w:numPr>
        <w:ind w:left="567" w:hanging="567"/>
        <w:contextualSpacing w:val="0"/>
        <w:jc w:val="both"/>
      </w:pPr>
      <w:r w:rsidRPr="006E698E">
        <w:lastRenderedPageBreak/>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B17D70" w:rsidRPr="006E698E" w:rsidRDefault="00B17D70" w:rsidP="00B17D70">
      <w:pPr>
        <w:pStyle w:val="a3"/>
        <w:ind w:left="567"/>
        <w:contextualSpacing w:val="0"/>
        <w:jc w:val="both"/>
      </w:pPr>
    </w:p>
    <w:p w:rsidR="00295C72" w:rsidRPr="006E698E" w:rsidRDefault="00295C72" w:rsidP="00295C72">
      <w:pPr>
        <w:pStyle w:val="a3"/>
        <w:numPr>
          <w:ilvl w:val="0"/>
          <w:numId w:val="2"/>
        </w:numPr>
        <w:ind w:left="567" w:hanging="567"/>
        <w:contextualSpacing w:val="0"/>
        <w:jc w:val="both"/>
      </w:pPr>
      <w:r w:rsidRPr="006E698E">
        <w:t xml:space="preserve">Стосовно </w:t>
      </w:r>
      <w:r w:rsidRPr="006E698E">
        <w:rPr>
          <w:u w:val="single"/>
        </w:rPr>
        <w:t>третього критерію</w:t>
      </w:r>
      <w:r w:rsidRPr="006E698E">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Комісії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295C72" w:rsidRPr="006E698E" w:rsidRDefault="00295C72" w:rsidP="00295C72">
      <w:pPr>
        <w:pStyle w:val="rvps2"/>
        <w:spacing w:before="0" w:beforeAutospacing="0" w:after="0" w:afterAutospacing="0"/>
        <w:ind w:left="567" w:hanging="567"/>
        <w:jc w:val="both"/>
        <w:rPr>
          <w:lang w:val="uk-UA" w:eastAsia="uk-UA"/>
        </w:rPr>
      </w:pPr>
    </w:p>
    <w:p w:rsidR="00295C72" w:rsidRPr="006E698E" w:rsidRDefault="00295C72" w:rsidP="00295C72">
      <w:pPr>
        <w:pStyle w:val="a3"/>
        <w:numPr>
          <w:ilvl w:val="0"/>
          <w:numId w:val="2"/>
        </w:numPr>
        <w:ind w:left="567" w:hanging="567"/>
        <w:contextualSpacing w:val="0"/>
        <w:jc w:val="both"/>
      </w:pPr>
      <w:r w:rsidRPr="006E698E">
        <w:t xml:space="preserve">Згідно з </w:t>
      </w:r>
      <w:r w:rsidRPr="006E698E">
        <w:rPr>
          <w:u w:val="single"/>
        </w:rPr>
        <w:t>четвертим критерієм</w:t>
      </w:r>
      <w:r w:rsidRPr="006E698E">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типового суб’єкта господарювання під час надання таких послуг.</w:t>
      </w:r>
    </w:p>
    <w:p w:rsidR="00295C72" w:rsidRPr="006E698E" w:rsidRDefault="00295C72" w:rsidP="00295C72">
      <w:pPr>
        <w:ind w:left="567"/>
        <w:jc w:val="both"/>
      </w:pPr>
      <w:r w:rsidRPr="006E698E">
        <w:t>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295C72" w:rsidRPr="006E698E" w:rsidRDefault="00295C72" w:rsidP="00295C72">
      <w:pPr>
        <w:pStyle w:val="a3"/>
        <w:ind w:left="567"/>
        <w:jc w:val="both"/>
      </w:pPr>
    </w:p>
    <w:p w:rsidR="00295C72" w:rsidRPr="006E698E" w:rsidRDefault="00295C72" w:rsidP="00295C72">
      <w:pPr>
        <w:pStyle w:val="a3"/>
        <w:numPr>
          <w:ilvl w:val="1"/>
          <w:numId w:val="1"/>
        </w:numPr>
        <w:tabs>
          <w:tab w:val="left" w:pos="0"/>
        </w:tabs>
        <w:spacing w:after="200" w:line="276" w:lineRule="auto"/>
        <w:ind w:left="567" w:hanging="567"/>
        <w:jc w:val="both"/>
        <w:rPr>
          <w:b/>
        </w:rPr>
      </w:pPr>
      <w:r w:rsidRPr="006E698E">
        <w:rPr>
          <w:b/>
        </w:rPr>
        <w:t>Вимоги (критерії допустимості) компенсації витрат, пов’язаних із послугами громадського транспорту</w:t>
      </w:r>
    </w:p>
    <w:p w:rsidR="00295C72" w:rsidRPr="006E698E" w:rsidRDefault="00295C72" w:rsidP="00295C72">
      <w:pPr>
        <w:pStyle w:val="a3"/>
        <w:tabs>
          <w:tab w:val="left" w:pos="0"/>
        </w:tabs>
        <w:ind w:left="567"/>
        <w:jc w:val="both"/>
        <w:rPr>
          <w:b/>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bookmarkStart w:id="3" w:name="o250"/>
      <w:bookmarkStart w:id="4" w:name="o251"/>
      <w:bookmarkEnd w:id="3"/>
      <w:bookmarkEnd w:id="4"/>
      <w:r w:rsidRPr="006E698E">
        <w:rPr>
          <w:lang w:val="uk-UA" w:eastAsia="uk-UA"/>
        </w:rPr>
        <w:t xml:space="preserve">Якщо критеріїв у справі Altmark не дотримано, з урахуванням положень статей 264 та 267 Угоди, для проведення відповідної оцінки </w:t>
      </w:r>
      <w:r w:rsidRPr="006E698E">
        <w:rPr>
          <w:iCs/>
          <w:lang w:val="uk-UA"/>
        </w:rPr>
        <w:t>допустимості державної допомоги</w:t>
      </w:r>
      <w:r w:rsidRPr="006E698E">
        <w:rPr>
          <w:lang w:val="uk-UA" w:eastAsia="uk-UA"/>
        </w:rPr>
        <w:t xml:space="preserve"> </w:t>
      </w:r>
      <w:r w:rsidRPr="006E698E">
        <w:rPr>
          <w:iCs/>
          <w:lang w:val="uk-UA"/>
        </w:rPr>
        <w:t xml:space="preserve">під час надання послуг громадського транспорту для оцінки використовується </w:t>
      </w:r>
      <w:r w:rsidRPr="006E698E">
        <w:rPr>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Згідно зі статтею 93 Договору ЄС допомога суб</w:t>
      </w:r>
      <w:r w:rsidR="009566CA">
        <w:rPr>
          <w:lang w:val="uk-UA" w:eastAsia="uk-UA"/>
        </w:rPr>
        <w:t>’</w:t>
      </w:r>
      <w:r w:rsidRPr="006E698E">
        <w:rPr>
          <w:lang w:val="uk-UA" w:eastAsia="uk-UA"/>
        </w:rPr>
        <w:t>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публічної послуги.</w:t>
      </w:r>
    </w:p>
    <w:p w:rsidR="00295C72" w:rsidRPr="006E698E" w:rsidRDefault="00295C72" w:rsidP="00295C72">
      <w:pPr>
        <w:pStyle w:val="a3"/>
        <w:ind w:left="567" w:hanging="567"/>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bCs/>
          <w:lang w:val="uk-UA" w:eastAsia="uk-UA"/>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w:t>
      </w:r>
      <w:r w:rsidR="00AB1C25">
        <w:rPr>
          <w:bCs/>
          <w:lang w:val="uk-UA" w:eastAsia="uk-UA"/>
        </w:rPr>
        <w:t>і</w:t>
      </w:r>
      <w:r w:rsidRPr="006E698E">
        <w:rPr>
          <w:bCs/>
          <w:lang w:val="uk-UA" w:eastAsia="uk-UA"/>
        </w:rPr>
        <w:t>з надання публічної послуги.</w:t>
      </w:r>
    </w:p>
    <w:p w:rsidR="00295C72" w:rsidRPr="006E698E" w:rsidRDefault="00295C72" w:rsidP="00295C72">
      <w:pPr>
        <w:pStyle w:val="rvps2"/>
        <w:spacing w:before="0" w:beforeAutospacing="0" w:after="0" w:afterAutospacing="0"/>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статті 2 Регламенту:</w:t>
      </w:r>
    </w:p>
    <w:p w:rsidR="00295C72" w:rsidRPr="006E698E" w:rsidRDefault="00295C72" w:rsidP="00295C72">
      <w:pPr>
        <w:pStyle w:val="rvps2"/>
        <w:numPr>
          <w:ilvl w:val="0"/>
          <w:numId w:val="41"/>
        </w:numPr>
        <w:spacing w:before="0" w:beforeAutospacing="0" w:after="0" w:afterAutospacing="0"/>
        <w:ind w:left="567" w:hanging="567"/>
        <w:jc w:val="both"/>
        <w:rPr>
          <w:lang w:val="uk-UA" w:eastAsia="uk-UA"/>
        </w:rPr>
      </w:pPr>
      <w:r w:rsidRPr="006E698E">
        <w:rPr>
          <w:lang w:val="uk-UA" w:eastAsia="uk-UA"/>
        </w:rPr>
        <w:t xml:space="preserve">договір на публічну послугу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w:t>
      </w:r>
      <w:r w:rsidRPr="006E698E">
        <w:rPr>
          <w:lang w:val="uk-UA" w:eastAsia="uk-UA"/>
        </w:rPr>
        <w:lastRenderedPageBreak/>
        <w:t>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295C72" w:rsidRPr="006E698E" w:rsidRDefault="00295C72" w:rsidP="00295C72">
      <w:pPr>
        <w:pStyle w:val="rvps2"/>
        <w:numPr>
          <w:ilvl w:val="0"/>
          <w:numId w:val="41"/>
        </w:numPr>
        <w:spacing w:before="0" w:beforeAutospacing="0" w:after="0" w:afterAutospacing="0"/>
        <w:ind w:left="567" w:hanging="567"/>
        <w:jc w:val="both"/>
        <w:rPr>
          <w:lang w:val="uk-UA" w:eastAsia="uk-UA"/>
        </w:rPr>
      </w:pPr>
      <w:r w:rsidRPr="006E698E">
        <w:rPr>
          <w:lang w:val="uk-UA" w:eastAsia="uk-UA"/>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295C72" w:rsidRPr="006E698E" w:rsidRDefault="00295C72" w:rsidP="00295C72">
      <w:pPr>
        <w:pStyle w:val="rvps2"/>
        <w:numPr>
          <w:ilvl w:val="0"/>
          <w:numId w:val="41"/>
        </w:numPr>
        <w:spacing w:before="0" w:beforeAutospacing="0" w:after="0" w:afterAutospacing="0"/>
        <w:ind w:left="567" w:hanging="567"/>
        <w:jc w:val="both"/>
        <w:rPr>
          <w:lang w:val="uk-UA" w:eastAsia="uk-UA"/>
        </w:rPr>
      </w:pPr>
      <w:r w:rsidRPr="006E698E">
        <w:rPr>
          <w:lang w:val="uk-UA" w:eastAsia="uk-UA"/>
        </w:rPr>
        <w:t>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295C72" w:rsidRPr="006E698E" w:rsidRDefault="00295C72" w:rsidP="00295C72">
      <w:pPr>
        <w:pStyle w:val="rvps2"/>
        <w:numPr>
          <w:ilvl w:val="0"/>
          <w:numId w:val="41"/>
        </w:numPr>
        <w:spacing w:before="0" w:beforeAutospacing="0" w:after="0" w:afterAutospacing="0"/>
        <w:ind w:left="567" w:hanging="567"/>
        <w:jc w:val="both"/>
        <w:rPr>
          <w:lang w:val="uk-UA" w:eastAsia="uk-UA"/>
        </w:rPr>
      </w:pPr>
      <w:r w:rsidRPr="006E698E">
        <w:rPr>
          <w:lang w:val="uk-UA" w:eastAsia="uk-UA"/>
        </w:rPr>
        <w:t>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295C72" w:rsidRPr="006E698E" w:rsidRDefault="00295C72" w:rsidP="00295C72">
      <w:pPr>
        <w:pStyle w:val="a3"/>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295C72" w:rsidRPr="006E698E" w:rsidRDefault="00295C72" w:rsidP="00295C72">
      <w:pPr>
        <w:pStyle w:val="rvps2"/>
        <w:spacing w:before="0" w:beforeAutospacing="0" w:after="0" w:afterAutospacing="0"/>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bCs/>
          <w:lang w:val="uk-UA" w:eastAsia="uk-UA"/>
        </w:rPr>
        <w:t>Відповідно до статті 4 Регламенту договір про надання публічних послуг та загальні правила повинні містити:</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параметри, на підставі яких розраховується компенсація, та наявність будь-яких ексклюзивних прав;</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295C72" w:rsidRPr="006E698E" w:rsidRDefault="00295C72" w:rsidP="00295C72"/>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color w:val="000000" w:themeColor="text1"/>
          <w:lang w:val="uk-UA" w:eastAsia="uk-UA"/>
        </w:rPr>
      </w:pPr>
      <w:r w:rsidRPr="006E698E">
        <w:rPr>
          <w:rStyle w:val="fontstyle01"/>
          <w:rFonts w:eastAsia="Calibri"/>
          <w:lang w:val="uk-UA"/>
        </w:rPr>
        <w:t>У разі потреби, з урахуванням умов зносу активів, тривалість договору про надання</w:t>
      </w:r>
      <w:r w:rsidRPr="006E698E">
        <w:rPr>
          <w:color w:val="000000"/>
          <w:lang w:val="uk-UA"/>
        </w:rPr>
        <w:br/>
      </w:r>
      <w:r w:rsidRPr="006E698E">
        <w:rPr>
          <w:rStyle w:val="fontstyle01"/>
          <w:rFonts w:eastAsia="Calibri"/>
          <w:lang w:val="uk-UA"/>
        </w:rPr>
        <w:t>транспортних послуг може бути збільшена максимум на 50 відсотків, якщо</w:t>
      </w:r>
      <w:r w:rsidRPr="006E698E">
        <w:rPr>
          <w:color w:val="000000"/>
          <w:lang w:val="uk-UA"/>
        </w:rPr>
        <w:br/>
      </w:r>
      <w:r w:rsidRPr="006E698E">
        <w:rPr>
          <w:rStyle w:val="fontstyle01"/>
          <w:rFonts w:eastAsia="Calibri"/>
          <w:lang w:val="uk-UA"/>
        </w:rPr>
        <w:t>підприємство закуповує ці активи самостійно, які є значними щодо загальних активів,</w:t>
      </w:r>
      <w:r w:rsidRPr="006E698E">
        <w:rPr>
          <w:color w:val="000000"/>
          <w:lang w:val="uk-UA"/>
        </w:rPr>
        <w:br/>
      </w:r>
      <w:r w:rsidRPr="006E698E">
        <w:rPr>
          <w:rStyle w:val="fontstyle01"/>
          <w:rFonts w:eastAsia="Calibri"/>
          <w:lang w:val="uk-UA"/>
        </w:rPr>
        <w:t>необхідних для здійснення виключно послуг пасажирського транспорту, що підпадають</w:t>
      </w:r>
      <w:r w:rsidRPr="006E698E">
        <w:rPr>
          <w:color w:val="000000"/>
          <w:lang w:val="uk-UA"/>
        </w:rPr>
        <w:br/>
      </w:r>
      <w:r w:rsidRPr="006E698E">
        <w:rPr>
          <w:rStyle w:val="fontstyle01"/>
          <w:rFonts w:eastAsia="Calibri"/>
          <w:lang w:val="uk-UA"/>
        </w:rPr>
        <w:t xml:space="preserve">під дію договору. Якщо це обґрунтовано витратами, що випливають </w:t>
      </w:r>
      <w:r w:rsidR="00896221">
        <w:rPr>
          <w:rStyle w:val="fontstyle01"/>
          <w:rFonts w:eastAsia="Calibri"/>
          <w:lang w:val="uk-UA"/>
        </w:rPr>
        <w:t>і</w:t>
      </w:r>
      <w:r w:rsidRPr="006E698E">
        <w:rPr>
          <w:rStyle w:val="fontstyle01"/>
          <w:rFonts w:eastAsia="Calibri"/>
          <w:lang w:val="uk-UA"/>
        </w:rPr>
        <w:t>з певної</w:t>
      </w:r>
      <w:r w:rsidRPr="006E698E">
        <w:rPr>
          <w:color w:val="000000"/>
          <w:lang w:val="uk-UA"/>
        </w:rPr>
        <w:br/>
      </w:r>
      <w:r w:rsidRPr="006E698E">
        <w:rPr>
          <w:rStyle w:val="fontstyle01"/>
          <w:rFonts w:eastAsia="Calibri"/>
          <w:lang w:val="uk-UA"/>
        </w:rPr>
        <w:lastRenderedPageBreak/>
        <w:t>географічної ситуації у найвіддаленіших регіонах, тривалість договору про надання</w:t>
      </w:r>
      <w:r w:rsidRPr="006E698E">
        <w:rPr>
          <w:color w:val="000000"/>
          <w:lang w:val="uk-UA"/>
        </w:rPr>
        <w:br/>
      </w:r>
      <w:r w:rsidRPr="006E698E">
        <w:rPr>
          <w:rStyle w:val="fontstyle01"/>
          <w:rFonts w:eastAsia="Calibri"/>
          <w:lang w:val="uk-UA"/>
        </w:rPr>
        <w:t>транспортних послуг може бути збільшена максимум на 50 відсотків.</w:t>
      </w:r>
    </w:p>
    <w:p w:rsidR="00295C72" w:rsidRPr="006E698E" w:rsidRDefault="00295C72" w:rsidP="00295C72">
      <w:pPr>
        <w:pStyle w:val="rvps2"/>
        <w:spacing w:before="0" w:beforeAutospacing="0" w:after="0" w:afterAutospacing="0"/>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bCs/>
          <w:lang w:val="uk-UA" w:eastAsia="uk-UA"/>
        </w:rPr>
        <w:t>Пунктом 2 статті 5 Регламенту встановлено, зокрема, що будь-який компетентний орган місцевої влади, що забезпечує надання публічних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публічних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295C72" w:rsidRPr="006E698E" w:rsidRDefault="00295C72" w:rsidP="00295C72">
      <w:pPr>
        <w:pStyle w:val="rvps2"/>
        <w:numPr>
          <w:ilvl w:val="0"/>
          <w:numId w:val="3"/>
        </w:numPr>
        <w:spacing w:before="0" w:beforeAutospacing="0" w:after="0" w:afterAutospacing="0"/>
        <w:ind w:left="567" w:hanging="567"/>
        <w:jc w:val="both"/>
        <w:rPr>
          <w:lang w:val="uk-UA" w:eastAsia="uk-UA"/>
        </w:rPr>
      </w:pPr>
      <w:r w:rsidRPr="006E698E">
        <w:rPr>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w:t>
      </w:r>
      <w:r w:rsidR="00896221">
        <w:rPr>
          <w:lang w:val="uk-UA" w:eastAsia="uk-UA"/>
        </w:rPr>
        <w:t>у</w:t>
      </w:r>
      <w:r w:rsidR="00896221" w:rsidRPr="006E698E">
        <w:rPr>
          <w:lang w:val="uk-UA" w:eastAsia="uk-UA"/>
        </w:rPr>
        <w:t xml:space="preserve"> </w:t>
      </w:r>
      <w:r w:rsidRPr="006E698E">
        <w:rPr>
          <w:lang w:val="uk-UA" w:eastAsia="uk-UA"/>
        </w:rPr>
        <w:t>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295C72" w:rsidRPr="006E698E" w:rsidRDefault="00295C72" w:rsidP="00295C72"/>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896221">
        <w:rPr>
          <w:lang w:val="uk-UA" w:eastAsia="uk-UA"/>
        </w:rPr>
        <w:t>зі</w:t>
      </w:r>
      <w:r w:rsidR="00896221" w:rsidRPr="006E698E">
        <w:rPr>
          <w:lang w:val="uk-UA" w:eastAsia="uk-UA"/>
        </w:rPr>
        <w:t xml:space="preserve"> </w:t>
      </w:r>
      <w:r w:rsidRPr="006E698E">
        <w:rPr>
          <w:lang w:val="uk-UA" w:eastAsia="uk-UA"/>
        </w:rPr>
        <w:t>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295C72" w:rsidRPr="006E698E" w:rsidRDefault="00295C72" w:rsidP="00295C72">
      <w:pPr>
        <w:pStyle w:val="rvps2"/>
        <w:spacing w:before="0" w:beforeAutospacing="0" w:after="0" w:afterAutospacing="0"/>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bCs/>
          <w:lang w:val="uk-UA"/>
        </w:rPr>
        <w:t>Отже, беручи до уваги зобов’язання України, передбачені статтею 264 Угоди, положення Регламенту та додатково – рішення Європейського Суду від 24.07.2003                  № 280/00 у справі Altmark Trans Gmbh, Regierungspräsidium Magdeburg v Nahverkehrsgesellschaft Altmark Gmbh, компенсація витрат суб’єкта господарювання є сумісною із наданням послуг загального економічного інтересу, якщо:</w:t>
      </w:r>
    </w:p>
    <w:p w:rsidR="00295C72" w:rsidRPr="006E698E" w:rsidRDefault="00295C72" w:rsidP="00295C72">
      <w:pPr>
        <w:numPr>
          <w:ilvl w:val="0"/>
          <w:numId w:val="5"/>
        </w:numPr>
        <w:ind w:left="567" w:hanging="567"/>
        <w:jc w:val="both"/>
      </w:pPr>
      <w:r w:rsidRPr="006E698E">
        <w:t>суб’єкт господарювання має чітко визначені</w:t>
      </w:r>
      <w:r w:rsidRPr="006E698E" w:rsidDel="004D543E">
        <w:t xml:space="preserve"> </w:t>
      </w:r>
      <w:r w:rsidRPr="006E698E">
        <w:t>зобов’язання надавати публічні послуги (обслуговувати населення);</w:t>
      </w:r>
    </w:p>
    <w:p w:rsidR="00295C72" w:rsidRPr="006E698E" w:rsidRDefault="00295C72" w:rsidP="00295C72">
      <w:pPr>
        <w:numPr>
          <w:ilvl w:val="0"/>
          <w:numId w:val="5"/>
        </w:numPr>
        <w:ind w:left="567" w:hanging="567"/>
        <w:jc w:val="both"/>
      </w:pPr>
      <w:r w:rsidRPr="006E698E">
        <w:t>параметри, на підставі яких обчислюється компенсація, є визначеними заздалегідь  об’єктивним і прозорим способом;</w:t>
      </w:r>
    </w:p>
    <w:p w:rsidR="00295C72" w:rsidRPr="006E698E" w:rsidRDefault="00295C72" w:rsidP="00295C72">
      <w:pPr>
        <w:numPr>
          <w:ilvl w:val="0"/>
          <w:numId w:val="5"/>
        </w:numPr>
        <w:ind w:left="567" w:hanging="567"/>
        <w:jc w:val="both"/>
      </w:pPr>
      <w:r w:rsidRPr="006E698E">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w:t>
      </w:r>
      <w:r w:rsidR="00672851">
        <w:t>в</w:t>
      </w:r>
      <w:r w:rsidR="00672851" w:rsidRPr="006E698E">
        <w:t xml:space="preserve"> </w:t>
      </w:r>
      <w:r w:rsidRPr="006E698E">
        <w:t>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295C72" w:rsidRPr="006E698E" w:rsidRDefault="00295C72" w:rsidP="00295C72">
      <w:pPr>
        <w:numPr>
          <w:ilvl w:val="0"/>
          <w:numId w:val="5"/>
        </w:numPr>
        <w:ind w:left="567" w:hanging="567"/>
        <w:jc w:val="both"/>
      </w:pPr>
      <w:r w:rsidRPr="006E698E">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3E64BB" w:rsidRPr="006E698E" w:rsidRDefault="00295C72" w:rsidP="00295C72">
      <w:pPr>
        <w:numPr>
          <w:ilvl w:val="0"/>
          <w:numId w:val="5"/>
        </w:numPr>
        <w:ind w:left="567" w:hanging="567"/>
        <w:jc w:val="both"/>
        <w:rPr>
          <w:color w:val="000000" w:themeColor="text1"/>
        </w:rPr>
      </w:pPr>
      <w:r w:rsidRPr="006E698E">
        <w:lastRenderedPageBreak/>
        <w:t xml:space="preserve">у разі укладення прямого договору між підконтрольним підприємством </w:t>
      </w:r>
      <w:r w:rsidR="00672851">
        <w:t>та</w:t>
      </w:r>
      <w:r w:rsidR="00672851" w:rsidRPr="006E698E">
        <w:t xml:space="preserve"> </w:t>
      </w:r>
      <w:r w:rsidRPr="006E698E">
        <w:t>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B17D70" w:rsidRPr="006E698E" w:rsidRDefault="00B17D70" w:rsidP="003E64BB">
      <w:pPr>
        <w:jc w:val="both"/>
        <w:rPr>
          <w:color w:val="000000" w:themeColor="text1"/>
        </w:rPr>
      </w:pPr>
    </w:p>
    <w:p w:rsidR="003E64BB" w:rsidRPr="006E698E"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6E698E">
        <w:rPr>
          <w:b/>
          <w:bCs/>
          <w:color w:val="000000" w:themeColor="text1"/>
          <w:lang w:val="uk-UA"/>
        </w:rPr>
        <w:t xml:space="preserve"> ВИСНОВКИ ЗА РЕЗУЛЬТАТАМИ РОЗГЛЯДУ СПРАВИ</w:t>
      </w:r>
    </w:p>
    <w:p w:rsidR="003E64BB" w:rsidRPr="006E698E" w:rsidRDefault="003E64BB" w:rsidP="003E64BB">
      <w:pPr>
        <w:pStyle w:val="rvps2"/>
        <w:spacing w:before="0" w:beforeAutospacing="0" w:after="0" w:afterAutospacing="0"/>
        <w:ind w:left="567" w:hanging="567"/>
        <w:jc w:val="both"/>
        <w:rPr>
          <w:b/>
          <w:color w:val="000000" w:themeColor="text1"/>
          <w:lang w:val="uk-UA" w:eastAsia="uk-UA"/>
        </w:rPr>
      </w:pPr>
    </w:p>
    <w:p w:rsidR="00295C72" w:rsidRPr="006E698E" w:rsidRDefault="00295C72" w:rsidP="00295C72">
      <w:pPr>
        <w:pStyle w:val="a3"/>
        <w:numPr>
          <w:ilvl w:val="1"/>
          <w:numId w:val="1"/>
        </w:numPr>
        <w:tabs>
          <w:tab w:val="left" w:pos="426"/>
        </w:tabs>
        <w:ind w:left="567" w:hanging="567"/>
        <w:jc w:val="both"/>
        <w:rPr>
          <w:b/>
          <w:bCs/>
        </w:rPr>
      </w:pPr>
      <w:r w:rsidRPr="006E698E">
        <w:rPr>
          <w:b/>
          <w:bCs/>
        </w:rPr>
        <w:t xml:space="preserve">  Віднесення послуг громадського транспорту</w:t>
      </w:r>
      <w:r w:rsidRPr="006E698E">
        <w:rPr>
          <w:b/>
        </w:rPr>
        <w:t xml:space="preserve"> до ПЗЕІ</w:t>
      </w:r>
    </w:p>
    <w:p w:rsidR="00295C72" w:rsidRPr="006E698E" w:rsidRDefault="00295C72" w:rsidP="00295C72">
      <w:pPr>
        <w:tabs>
          <w:tab w:val="left" w:pos="426"/>
        </w:tabs>
        <w:jc w:val="both"/>
        <w:rPr>
          <w:b/>
          <w:bCs/>
        </w:rPr>
      </w:pPr>
    </w:p>
    <w:p w:rsidR="00295C72" w:rsidRPr="006E698E" w:rsidRDefault="00295C72" w:rsidP="00295C72">
      <w:pPr>
        <w:numPr>
          <w:ilvl w:val="0"/>
          <w:numId w:val="2"/>
        </w:numPr>
        <w:ind w:left="567" w:hanging="567"/>
        <w:contextualSpacing/>
        <w:jc w:val="both"/>
        <w:rPr>
          <w:bCs/>
          <w:color w:val="000000" w:themeColor="text1"/>
        </w:rPr>
      </w:pPr>
      <w:bookmarkStart w:id="5" w:name="_Hlk67564119"/>
      <w:r w:rsidRPr="006E698E">
        <w:rPr>
          <w:bCs/>
          <w:color w:val="000000" w:themeColor="text1"/>
        </w:rPr>
        <w:t>Відповідно до визначення ПЗЕІ, наведеного в Законі, до ПЗЕІ можуть бути віднесені послуги, які відповідають таким умовам:</w:t>
      </w:r>
    </w:p>
    <w:p w:rsidR="00295C72" w:rsidRPr="006E698E" w:rsidRDefault="00295C72" w:rsidP="00295C72">
      <w:pPr>
        <w:pStyle w:val="rvps2"/>
        <w:numPr>
          <w:ilvl w:val="0"/>
          <w:numId w:val="9"/>
        </w:numPr>
        <w:spacing w:before="0" w:beforeAutospacing="0" w:after="0" w:afterAutospacing="0"/>
        <w:ind w:left="567" w:hanging="567"/>
        <w:jc w:val="both"/>
        <w:rPr>
          <w:color w:val="000000" w:themeColor="text1"/>
          <w:lang w:val="uk-UA"/>
        </w:rPr>
      </w:pPr>
      <w:r w:rsidRPr="006E698E">
        <w:rPr>
          <w:color w:val="000000" w:themeColor="text1"/>
          <w:lang w:val="uk-UA"/>
        </w:rPr>
        <w:t>пов’язані із задоволенням особливо важливих загальних потреб громадян;</w:t>
      </w:r>
    </w:p>
    <w:p w:rsidR="00295C72" w:rsidRPr="006E698E" w:rsidRDefault="00295C72" w:rsidP="00295C72">
      <w:pPr>
        <w:pStyle w:val="rvps2"/>
        <w:numPr>
          <w:ilvl w:val="0"/>
          <w:numId w:val="9"/>
        </w:numPr>
        <w:spacing w:before="0" w:beforeAutospacing="0" w:after="0" w:afterAutospacing="0"/>
        <w:ind w:left="567" w:hanging="567"/>
        <w:jc w:val="both"/>
        <w:rPr>
          <w:color w:val="000000" w:themeColor="text1"/>
          <w:lang w:val="uk-UA"/>
        </w:rPr>
      </w:pPr>
      <w:r w:rsidRPr="006E698E">
        <w:rPr>
          <w:color w:val="000000" w:themeColor="text1"/>
          <w:lang w:val="uk-UA"/>
        </w:rPr>
        <w:t xml:space="preserve">не можуть надаватися на комерційній основі без державної підтримки. </w:t>
      </w:r>
    </w:p>
    <w:p w:rsidR="00295C72" w:rsidRPr="006E698E" w:rsidRDefault="00295C72" w:rsidP="00295C72">
      <w:pPr>
        <w:pStyle w:val="rvps2"/>
        <w:spacing w:before="0" w:beforeAutospacing="0" w:after="0" w:afterAutospacing="0"/>
        <w:ind w:left="567" w:hanging="567"/>
        <w:jc w:val="both"/>
        <w:rPr>
          <w:color w:val="000000" w:themeColor="text1"/>
          <w:lang w:val="uk-UA"/>
        </w:rPr>
      </w:pPr>
    </w:p>
    <w:p w:rsidR="00295C72" w:rsidRPr="006E698E" w:rsidRDefault="00295C72" w:rsidP="00295C72">
      <w:pPr>
        <w:numPr>
          <w:ilvl w:val="0"/>
          <w:numId w:val="2"/>
        </w:numPr>
        <w:ind w:left="567" w:hanging="567"/>
        <w:contextualSpacing/>
        <w:jc w:val="both"/>
        <w:rPr>
          <w:bCs/>
          <w:color w:val="000000" w:themeColor="text1"/>
        </w:rPr>
      </w:pPr>
      <w:r w:rsidRPr="006E698E">
        <w:rPr>
          <w:bCs/>
          <w:color w:val="000000" w:themeColor="text1"/>
        </w:rPr>
        <w:t>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295C72" w:rsidRPr="006E698E" w:rsidRDefault="00295C72" w:rsidP="00295C72">
      <w:pPr>
        <w:ind w:left="567" w:hanging="567"/>
        <w:contextualSpacing/>
        <w:jc w:val="both"/>
        <w:rPr>
          <w:bCs/>
          <w:color w:val="000000" w:themeColor="text1"/>
        </w:rPr>
      </w:pPr>
    </w:p>
    <w:p w:rsidR="00295C72" w:rsidRPr="006E698E" w:rsidRDefault="00295C72" w:rsidP="00295C72">
      <w:pPr>
        <w:numPr>
          <w:ilvl w:val="0"/>
          <w:numId w:val="2"/>
        </w:numPr>
        <w:ind w:left="567" w:hanging="567"/>
        <w:contextualSpacing/>
        <w:jc w:val="both"/>
        <w:rPr>
          <w:bCs/>
          <w:color w:val="000000" w:themeColor="text1"/>
        </w:rPr>
      </w:pPr>
      <w:r w:rsidRPr="006E698E">
        <w:rPr>
          <w:bCs/>
          <w:color w:val="000000" w:themeColor="text1"/>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295C72" w:rsidRPr="006E698E" w:rsidRDefault="00295C72" w:rsidP="00295C72">
      <w:pPr>
        <w:ind w:left="567" w:hanging="567"/>
        <w:contextualSpacing/>
        <w:jc w:val="both"/>
        <w:rPr>
          <w:bCs/>
          <w:color w:val="000000" w:themeColor="text1"/>
        </w:rPr>
      </w:pPr>
    </w:p>
    <w:p w:rsidR="00295C72" w:rsidRPr="006E698E" w:rsidRDefault="00295C72" w:rsidP="00295C72">
      <w:pPr>
        <w:numPr>
          <w:ilvl w:val="0"/>
          <w:numId w:val="2"/>
        </w:numPr>
        <w:ind w:left="567" w:hanging="567"/>
        <w:contextualSpacing/>
        <w:jc w:val="both"/>
        <w:rPr>
          <w:bCs/>
          <w:color w:val="000000" w:themeColor="text1"/>
        </w:rPr>
      </w:pPr>
      <w:r w:rsidRPr="006E698E">
        <w:rPr>
          <w:bCs/>
          <w:color w:val="000000" w:themeColor="text1"/>
        </w:rPr>
        <w:t>Відповідно до статті 1 Закону України «Про міський електричний транспорт»:</w:t>
      </w:r>
    </w:p>
    <w:p w:rsidR="00295C72" w:rsidRPr="006E698E" w:rsidRDefault="00295C72" w:rsidP="00295C72">
      <w:pPr>
        <w:numPr>
          <w:ilvl w:val="0"/>
          <w:numId w:val="5"/>
        </w:numPr>
        <w:ind w:left="567" w:hanging="567"/>
        <w:jc w:val="both"/>
        <w:rPr>
          <w:color w:val="000000" w:themeColor="text1"/>
        </w:rPr>
      </w:pPr>
      <w:r w:rsidRPr="006E698E">
        <w:rPr>
          <w:color w:val="000000" w:themeColor="text1"/>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295C72" w:rsidRPr="006E698E" w:rsidRDefault="00295C72" w:rsidP="00295C72">
      <w:pPr>
        <w:numPr>
          <w:ilvl w:val="0"/>
          <w:numId w:val="5"/>
        </w:numPr>
        <w:ind w:left="567" w:hanging="567"/>
        <w:jc w:val="both"/>
        <w:rPr>
          <w:color w:val="000000" w:themeColor="text1"/>
          <w:shd w:val="clear" w:color="auto" w:fill="FFFFFF"/>
        </w:rPr>
      </w:pPr>
      <w:r w:rsidRPr="006E698E">
        <w:rPr>
          <w:color w:val="000000" w:themeColor="text1"/>
          <w:shd w:val="clear" w:color="auto" w:fill="FFFFFF"/>
        </w:rPr>
        <w:t xml:space="preserve">тариф </w:t>
      </w:r>
      <w:r w:rsidRPr="006E698E">
        <w:rPr>
          <w:color w:val="000000" w:themeColor="text1"/>
        </w:rPr>
        <w:t>–</w:t>
      </w:r>
      <w:r w:rsidRPr="006E698E">
        <w:rPr>
          <w:color w:val="000000" w:themeColor="text1"/>
          <w:shd w:val="clear" w:color="auto" w:fill="FFFFFF"/>
        </w:rPr>
        <w:t xml:space="preserve">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p>
    <w:p w:rsidR="00295C72" w:rsidRPr="006E698E" w:rsidRDefault="00295C72" w:rsidP="00295C72">
      <w:pPr>
        <w:jc w:val="both"/>
        <w:rPr>
          <w:color w:val="000000" w:themeColor="text1"/>
        </w:rPr>
      </w:pPr>
    </w:p>
    <w:p w:rsidR="00295C72" w:rsidRPr="006E698E" w:rsidRDefault="00295C72" w:rsidP="00295C72">
      <w:pPr>
        <w:numPr>
          <w:ilvl w:val="0"/>
          <w:numId w:val="2"/>
        </w:numPr>
        <w:ind w:left="567" w:hanging="567"/>
        <w:contextualSpacing/>
        <w:jc w:val="both"/>
        <w:rPr>
          <w:bCs/>
          <w:color w:val="000000" w:themeColor="text1"/>
        </w:rPr>
      </w:pPr>
      <w:r w:rsidRPr="006E698E">
        <w:rPr>
          <w:bCs/>
          <w:color w:val="000000" w:themeColor="text1"/>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295C72" w:rsidRPr="006E698E" w:rsidRDefault="00295C72" w:rsidP="00295C72">
      <w:pPr>
        <w:ind w:left="567" w:hanging="567"/>
        <w:contextualSpacing/>
        <w:jc w:val="both"/>
        <w:rPr>
          <w:bCs/>
          <w:color w:val="000000" w:themeColor="text1"/>
        </w:rPr>
      </w:pPr>
    </w:p>
    <w:p w:rsidR="00295C72" w:rsidRPr="006E698E" w:rsidRDefault="00295C72" w:rsidP="00295C72">
      <w:pPr>
        <w:numPr>
          <w:ilvl w:val="0"/>
          <w:numId w:val="2"/>
        </w:numPr>
        <w:ind w:left="567" w:hanging="567"/>
        <w:contextualSpacing/>
        <w:jc w:val="both"/>
        <w:rPr>
          <w:bCs/>
          <w:color w:val="000000" w:themeColor="text1"/>
        </w:rPr>
      </w:pPr>
      <w:r w:rsidRPr="006E698E">
        <w:rPr>
          <w:bCs/>
          <w:color w:val="000000" w:themeColor="text1"/>
        </w:rPr>
        <w:t xml:space="preserve">Згідно </w:t>
      </w:r>
      <w:r w:rsidR="0015642F">
        <w:rPr>
          <w:bCs/>
          <w:color w:val="000000" w:themeColor="text1"/>
        </w:rPr>
        <w:t>і</w:t>
      </w:r>
      <w:r w:rsidRPr="006E698E">
        <w:rPr>
          <w:bCs/>
          <w:color w:val="000000" w:themeColor="text1"/>
        </w:rPr>
        <w:t>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295C72" w:rsidRPr="006E698E" w:rsidRDefault="00295C72" w:rsidP="00295C72">
      <w:pPr>
        <w:numPr>
          <w:ilvl w:val="0"/>
          <w:numId w:val="3"/>
        </w:numPr>
        <w:ind w:left="567" w:hanging="567"/>
        <w:jc w:val="both"/>
        <w:rPr>
          <w:color w:val="000000" w:themeColor="text1"/>
        </w:rPr>
      </w:pPr>
      <w:r w:rsidRPr="006E698E">
        <w:rPr>
          <w:color w:val="000000" w:themeColor="text1"/>
        </w:rPr>
        <w:t>доступності транспортних послуг для усіх верств населення;</w:t>
      </w:r>
    </w:p>
    <w:p w:rsidR="00295C72" w:rsidRPr="006E698E" w:rsidRDefault="00295C72" w:rsidP="00295C72">
      <w:pPr>
        <w:numPr>
          <w:ilvl w:val="0"/>
          <w:numId w:val="3"/>
        </w:numPr>
        <w:ind w:left="567" w:hanging="567"/>
        <w:jc w:val="both"/>
        <w:rPr>
          <w:color w:val="000000" w:themeColor="text1"/>
        </w:rPr>
      </w:pPr>
      <w:r w:rsidRPr="006E698E">
        <w:rPr>
          <w:color w:val="000000" w:themeColor="text1"/>
        </w:rPr>
        <w:t>пріоритетності розвитку міського електричного транспорту у містах з підвищеним рівнем забруднення довкілля та курортних регіонах;</w:t>
      </w:r>
    </w:p>
    <w:p w:rsidR="00295C72" w:rsidRPr="006E698E" w:rsidRDefault="00295C72" w:rsidP="00295C72">
      <w:pPr>
        <w:numPr>
          <w:ilvl w:val="0"/>
          <w:numId w:val="3"/>
        </w:numPr>
        <w:ind w:left="567" w:hanging="567"/>
        <w:jc w:val="both"/>
        <w:rPr>
          <w:color w:val="000000" w:themeColor="text1"/>
        </w:rPr>
      </w:pPr>
      <w:r w:rsidRPr="006E698E">
        <w:rPr>
          <w:color w:val="000000" w:themeColor="text1"/>
        </w:rPr>
        <w:t>створення сприятливих умов для виробництва вітчизняного рухомого складу та його удосконалення;</w:t>
      </w:r>
    </w:p>
    <w:p w:rsidR="00295C72" w:rsidRPr="006E698E" w:rsidRDefault="00295C72" w:rsidP="00295C72">
      <w:pPr>
        <w:numPr>
          <w:ilvl w:val="0"/>
          <w:numId w:val="3"/>
        </w:numPr>
        <w:ind w:left="567" w:hanging="567"/>
        <w:jc w:val="both"/>
        <w:rPr>
          <w:color w:val="000000" w:themeColor="text1"/>
        </w:rPr>
      </w:pPr>
      <w:r w:rsidRPr="006E698E">
        <w:rPr>
          <w:color w:val="000000" w:themeColor="text1"/>
        </w:rPr>
        <w:t>беззбиткової роботи перевізників.</w:t>
      </w:r>
    </w:p>
    <w:p w:rsidR="00295C72" w:rsidRPr="006E698E" w:rsidRDefault="00295C72" w:rsidP="00295C72">
      <w:pPr>
        <w:ind w:left="567" w:hanging="567"/>
        <w:jc w:val="both"/>
        <w:rPr>
          <w:color w:val="000000" w:themeColor="text1"/>
        </w:rPr>
      </w:pPr>
    </w:p>
    <w:p w:rsidR="00295C72" w:rsidRPr="006E698E" w:rsidRDefault="00295C72" w:rsidP="00295C72">
      <w:pPr>
        <w:pStyle w:val="a3"/>
        <w:numPr>
          <w:ilvl w:val="0"/>
          <w:numId w:val="2"/>
        </w:numPr>
        <w:ind w:left="567" w:hanging="567"/>
        <w:jc w:val="both"/>
        <w:rPr>
          <w:bCs/>
          <w:color w:val="000000" w:themeColor="text1"/>
        </w:rPr>
      </w:pPr>
      <w:r w:rsidRPr="006E698E">
        <w:rPr>
          <w:color w:val="000000" w:themeColor="text1"/>
        </w:rPr>
        <w:lastRenderedPageBreak/>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6E698E">
        <w:rPr>
          <w:bCs/>
          <w:color w:val="000000" w:themeColor="text1"/>
        </w:rPr>
        <w:t>.</w:t>
      </w:r>
    </w:p>
    <w:p w:rsidR="00295C72" w:rsidRPr="006E698E" w:rsidRDefault="00295C72" w:rsidP="00295C72">
      <w:pPr>
        <w:pStyle w:val="a3"/>
        <w:ind w:left="567"/>
        <w:jc w:val="both"/>
        <w:rPr>
          <w:bCs/>
          <w:color w:val="000000" w:themeColor="text1"/>
        </w:rPr>
      </w:pPr>
    </w:p>
    <w:p w:rsidR="00295C72" w:rsidRPr="006E698E" w:rsidRDefault="00295C72" w:rsidP="00295C72">
      <w:pPr>
        <w:pStyle w:val="a3"/>
        <w:numPr>
          <w:ilvl w:val="0"/>
          <w:numId w:val="2"/>
        </w:numPr>
        <w:ind w:left="567" w:hanging="567"/>
        <w:jc w:val="both"/>
        <w:rPr>
          <w:bCs/>
          <w:color w:val="000000" w:themeColor="text1"/>
        </w:rPr>
      </w:pPr>
      <w:r w:rsidRPr="006E698E">
        <w:rPr>
          <w:bCs/>
          <w:color w:val="000000" w:themeColor="text1"/>
        </w:rPr>
        <w:t xml:space="preserve">Згідно зі статтею 11 </w:t>
      </w:r>
      <w:r w:rsidRPr="006E698E">
        <w:rPr>
          <w:color w:val="000000" w:themeColor="text1"/>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295C72" w:rsidRPr="006E698E" w:rsidRDefault="00295C72" w:rsidP="00295C72">
      <w:pPr>
        <w:pStyle w:val="a3"/>
        <w:ind w:left="567"/>
        <w:jc w:val="both"/>
        <w:rPr>
          <w:bCs/>
          <w:color w:val="000000" w:themeColor="text1"/>
        </w:rPr>
      </w:pPr>
    </w:p>
    <w:p w:rsidR="00295C72" w:rsidRPr="006E698E" w:rsidRDefault="00295C72" w:rsidP="00295C72">
      <w:pPr>
        <w:pStyle w:val="a3"/>
        <w:numPr>
          <w:ilvl w:val="0"/>
          <w:numId w:val="2"/>
        </w:numPr>
        <w:ind w:left="567" w:hanging="567"/>
        <w:jc w:val="both"/>
        <w:rPr>
          <w:bCs/>
          <w:color w:val="000000" w:themeColor="text1"/>
        </w:rPr>
      </w:pPr>
      <w:r w:rsidRPr="006E698E">
        <w:rPr>
          <w:bCs/>
          <w:color w:val="000000" w:themeColor="text1"/>
        </w:rPr>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295C72" w:rsidRPr="006E698E" w:rsidRDefault="00295C72" w:rsidP="00295C72">
      <w:pPr>
        <w:jc w:val="both"/>
        <w:rPr>
          <w:bCs/>
          <w:color w:val="000000" w:themeColor="text1"/>
        </w:rPr>
      </w:pPr>
    </w:p>
    <w:p w:rsidR="00295C72" w:rsidRPr="006E698E" w:rsidRDefault="00295C72" w:rsidP="00295C72">
      <w:pPr>
        <w:pStyle w:val="rvps2"/>
        <w:numPr>
          <w:ilvl w:val="0"/>
          <w:numId w:val="2"/>
        </w:numPr>
        <w:spacing w:before="0" w:beforeAutospacing="0" w:after="0" w:afterAutospacing="0"/>
        <w:ind w:left="567" w:hanging="567"/>
        <w:jc w:val="both"/>
        <w:rPr>
          <w:color w:val="000000" w:themeColor="text1"/>
          <w:lang w:val="uk-UA" w:eastAsia="uk-UA"/>
        </w:rPr>
      </w:pPr>
      <w:r w:rsidRPr="006E698E">
        <w:rPr>
          <w:color w:val="000000" w:themeColor="text1"/>
          <w:lang w:val="uk-UA"/>
        </w:rPr>
        <w:t xml:space="preserve">Згідно </w:t>
      </w:r>
      <w:r w:rsidR="0015642F">
        <w:rPr>
          <w:color w:val="000000" w:themeColor="text1"/>
          <w:lang w:val="uk-UA"/>
        </w:rPr>
        <w:t>і</w:t>
      </w:r>
      <w:r w:rsidRPr="006E698E">
        <w:rPr>
          <w:color w:val="000000" w:themeColor="text1"/>
          <w:lang w:val="uk-UA"/>
        </w:rPr>
        <w:t>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295C72" w:rsidRPr="006E698E" w:rsidRDefault="00295C72" w:rsidP="00295C72">
      <w:pPr>
        <w:rPr>
          <w:color w:val="000000" w:themeColor="text1"/>
        </w:rPr>
      </w:pPr>
    </w:p>
    <w:p w:rsidR="00295C72" w:rsidRPr="006E698E" w:rsidRDefault="00295C72" w:rsidP="00295C72">
      <w:pPr>
        <w:pStyle w:val="rvps2"/>
        <w:numPr>
          <w:ilvl w:val="0"/>
          <w:numId w:val="2"/>
        </w:numPr>
        <w:spacing w:before="0" w:beforeAutospacing="0" w:after="0" w:afterAutospacing="0"/>
        <w:ind w:left="567" w:hanging="567"/>
        <w:jc w:val="both"/>
        <w:rPr>
          <w:color w:val="000000" w:themeColor="text1"/>
          <w:lang w:val="uk-UA" w:eastAsia="uk-UA"/>
        </w:rPr>
      </w:pPr>
      <w:r w:rsidRPr="006E698E">
        <w:rPr>
          <w:color w:val="000000" w:themeColor="text1"/>
          <w:szCs w:val="22"/>
          <w:lang w:val="uk-UA"/>
        </w:rPr>
        <w:t>Відповідно до статті 17 Закону України «Про міський електричний транспорт» о</w:t>
      </w:r>
      <w:r w:rsidRPr="006E698E">
        <w:rPr>
          <w:color w:val="000000" w:themeColor="text1"/>
          <w:szCs w:val="22"/>
          <w:shd w:val="clear" w:color="auto" w:fill="FFFFFF"/>
          <w:lang w:val="uk-UA"/>
        </w:rPr>
        <w:t>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bookmarkEnd w:id="5"/>
    </w:p>
    <w:p w:rsidR="00295C72" w:rsidRPr="006E698E" w:rsidRDefault="00295C72" w:rsidP="00295C72">
      <w:pPr>
        <w:ind w:left="567"/>
        <w:contextualSpacing/>
        <w:jc w:val="both"/>
        <w:rPr>
          <w:bCs/>
          <w:lang w:eastAsia="ru-RU"/>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bCs/>
          <w:lang w:val="uk-UA"/>
        </w:rPr>
        <w:t xml:space="preserve">Отримувачем державної підтримки є </w:t>
      </w:r>
      <w:r w:rsidRPr="006E698E">
        <w:rPr>
          <w:lang w:val="uk-UA" w:eastAsia="uk-UA"/>
        </w:rPr>
        <w:t>КП БЦМР «Тролейбусне управління»</w:t>
      </w:r>
      <w:r w:rsidRPr="006E698E">
        <w:rPr>
          <w:bCs/>
          <w:lang w:val="uk-UA"/>
        </w:rPr>
        <w:t xml:space="preserve">, яке створено відповідно </w:t>
      </w:r>
      <w:r w:rsidRPr="006E698E">
        <w:rPr>
          <w:lang w:val="uk-UA" w:eastAsia="uk-UA"/>
        </w:rPr>
        <w:t xml:space="preserve">до пункту 2.1 розділу 2 Статуту, зокрема, для надання послуг із перевезення пасажирів. </w:t>
      </w:r>
    </w:p>
    <w:p w:rsidR="00295C72" w:rsidRPr="006E698E" w:rsidRDefault="00295C72" w:rsidP="00295C72"/>
    <w:p w:rsidR="00295C72" w:rsidRPr="006E698E" w:rsidRDefault="00295C72" w:rsidP="00295C72">
      <w:pPr>
        <w:pStyle w:val="rvps2"/>
        <w:numPr>
          <w:ilvl w:val="0"/>
          <w:numId w:val="2"/>
        </w:numPr>
        <w:spacing w:before="0" w:beforeAutospacing="0" w:after="0" w:afterAutospacing="0"/>
        <w:ind w:left="567" w:hanging="567"/>
        <w:jc w:val="both"/>
        <w:rPr>
          <w:u w:val="single"/>
          <w:lang w:val="uk-UA" w:eastAsia="uk-UA"/>
        </w:rPr>
      </w:pPr>
      <w:r w:rsidRPr="006E698E">
        <w:rPr>
          <w:lang w:val="uk-UA" w:eastAsia="uk-UA"/>
        </w:rPr>
        <w:t>Враховуючи викладене та з</w:t>
      </w:r>
      <w:r w:rsidRPr="006E698E">
        <w:rPr>
          <w:color w:val="000000"/>
          <w:shd w:val="clear" w:color="auto" w:fill="FFFFFF"/>
          <w:lang w:val="uk-UA" w:eastAsia="uk-UA"/>
        </w:rPr>
        <w:t xml:space="preserve">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w:t>
      </w:r>
      <w:r w:rsidRPr="006E698E">
        <w:rPr>
          <w:lang w:val="uk-UA" w:eastAsia="uk-UA"/>
        </w:rPr>
        <w:t xml:space="preserve">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6E698E">
        <w:rPr>
          <w:u w:val="single"/>
          <w:lang w:val="uk-UA" w:eastAsia="uk-UA"/>
        </w:rPr>
        <w:t xml:space="preserve">є послугами загального економічного інтересу. </w:t>
      </w:r>
    </w:p>
    <w:p w:rsidR="00295C72" w:rsidRPr="006E698E" w:rsidRDefault="00295C72" w:rsidP="00295C72">
      <w:pPr>
        <w:pStyle w:val="rvps2"/>
        <w:spacing w:before="0" w:beforeAutospacing="0" w:after="0" w:afterAutospacing="0"/>
        <w:ind w:left="567"/>
        <w:jc w:val="both"/>
        <w:rPr>
          <w:lang w:val="uk-UA"/>
        </w:rPr>
      </w:pPr>
      <w:r w:rsidRPr="006E698E">
        <w:rPr>
          <w:lang w:val="uk-UA"/>
        </w:rPr>
        <w:t xml:space="preserve"> </w:t>
      </w:r>
    </w:p>
    <w:p w:rsidR="00295C72" w:rsidRPr="006E698E" w:rsidRDefault="00295C72" w:rsidP="00295C72">
      <w:pPr>
        <w:pStyle w:val="rvps2"/>
        <w:numPr>
          <w:ilvl w:val="0"/>
          <w:numId w:val="2"/>
        </w:numPr>
        <w:spacing w:before="0" w:beforeAutospacing="0" w:after="0" w:afterAutospacing="0"/>
        <w:ind w:left="567" w:hanging="567"/>
        <w:jc w:val="both"/>
        <w:rPr>
          <w:lang w:val="uk-UA"/>
        </w:rPr>
      </w:pPr>
      <w:r w:rsidRPr="006E698E">
        <w:rPr>
          <w:lang w:val="uk-UA" w:eastAsia="uk-UA"/>
        </w:rPr>
        <w:t>Отже, надання підтримки КП БЦМР «Тролейбусне управління» у формі субсидій та поточних трансфертів (</w:t>
      </w:r>
      <w:r w:rsidRPr="006E698E">
        <w:rPr>
          <w:rFonts w:eastAsiaTheme="minorHAnsi"/>
          <w:lang w:val="uk-UA" w:eastAsia="en-US"/>
        </w:rPr>
        <w:t xml:space="preserve">відповідно до Програми 1 </w:t>
      </w:r>
      <w:r w:rsidR="00A11040">
        <w:rPr>
          <w:rFonts w:eastAsiaTheme="minorHAnsi"/>
          <w:lang w:val="uk-UA" w:eastAsia="en-US"/>
        </w:rPr>
        <w:t>і</w:t>
      </w:r>
      <w:r w:rsidR="00A11040" w:rsidRPr="006E698E">
        <w:rPr>
          <w:rFonts w:eastAsiaTheme="minorHAnsi"/>
          <w:lang w:val="uk-UA" w:eastAsia="en-US"/>
        </w:rPr>
        <w:t xml:space="preserve"> </w:t>
      </w:r>
      <w:r w:rsidR="0079254C" w:rsidRPr="006E698E">
        <w:rPr>
          <w:rFonts w:eastAsiaTheme="minorHAnsi"/>
          <w:lang w:val="uk-UA"/>
        </w:rPr>
        <w:t>Програми 2</w:t>
      </w:r>
      <w:r w:rsidRPr="006E698E">
        <w:rPr>
          <w:rFonts w:eastAsiaTheme="minorHAnsi"/>
          <w:lang w:val="uk-UA" w:eastAsia="en-US"/>
        </w:rPr>
        <w:t>)</w:t>
      </w:r>
      <w:r w:rsidRPr="006E698E">
        <w:rPr>
          <w:lang w:val="uk-UA" w:eastAsia="uk-UA"/>
        </w:rPr>
        <w:t xml:space="preserve"> та капітальних трансфертів (в</w:t>
      </w:r>
      <w:r w:rsidRPr="006E698E">
        <w:rPr>
          <w:rFonts w:eastAsiaTheme="minorHAnsi"/>
          <w:lang w:val="uk-UA" w:eastAsia="en-US"/>
        </w:rPr>
        <w:t xml:space="preserve">ідповідно до Програми </w:t>
      </w:r>
      <w:r w:rsidR="0079254C" w:rsidRPr="006E698E">
        <w:rPr>
          <w:rFonts w:eastAsiaTheme="minorHAnsi"/>
          <w:lang w:val="uk-UA" w:eastAsia="en-US"/>
        </w:rPr>
        <w:t>3</w:t>
      </w:r>
      <w:r w:rsidRPr="006E698E">
        <w:rPr>
          <w:rFonts w:eastAsiaTheme="minorHAnsi"/>
          <w:lang w:val="uk-UA" w:eastAsia="en-US"/>
        </w:rPr>
        <w:t>)</w:t>
      </w:r>
      <w:r w:rsidRPr="006E698E">
        <w:rPr>
          <w:lang w:val="uk-UA" w:eastAsia="uk-UA"/>
        </w:rPr>
        <w:t xml:space="preserve"> для </w:t>
      </w:r>
      <w:r w:rsidRPr="006E698E">
        <w:rPr>
          <w:lang w:val="uk-UA"/>
        </w:rPr>
        <w:t xml:space="preserve">покращення якості надання послуг </w:t>
      </w:r>
      <w:r w:rsidR="00A11040">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w:t>
      </w:r>
      <w:r w:rsidRPr="006E698E">
        <w:rPr>
          <w:lang w:val="uk-UA" w:eastAsia="uk-UA"/>
        </w:rPr>
        <w:lastRenderedPageBreak/>
        <w:t xml:space="preserve">електротранспорту </w:t>
      </w:r>
      <w:r w:rsidR="00A11040">
        <w:rPr>
          <w:lang w:val="uk-UA" w:eastAsia="uk-UA"/>
        </w:rPr>
        <w:t>в</w:t>
      </w:r>
      <w:r w:rsidR="00A11040" w:rsidRPr="006E698E">
        <w:rPr>
          <w:lang w:val="uk-UA" w:eastAsia="uk-UA"/>
        </w:rPr>
        <w:t xml:space="preserve"> </w:t>
      </w:r>
      <w:r w:rsidRPr="006E698E">
        <w:rPr>
          <w:lang w:val="uk-UA" w:eastAsia="uk-UA"/>
        </w:rPr>
        <w:t>міських пасажирських перевезеннях</w:t>
      </w:r>
      <w:r w:rsidRPr="006E698E">
        <w:rPr>
          <w:rFonts w:eastAsiaTheme="minorHAnsi"/>
          <w:lang w:val="uk-UA" w:eastAsia="en-US"/>
        </w:rPr>
        <w:t xml:space="preserve"> </w:t>
      </w:r>
      <w:r w:rsidRPr="006E698E">
        <w:rPr>
          <w:u w:val="single"/>
          <w:lang w:val="uk-UA" w:eastAsia="uk-UA"/>
        </w:rPr>
        <w:t>є компенсацією витрат, які пов’язані з наданням послуг, що становлять загальний економічний інтерес</w:t>
      </w:r>
      <w:r w:rsidRPr="006E698E">
        <w:rPr>
          <w:lang w:val="uk-UA" w:eastAsia="uk-UA"/>
        </w:rPr>
        <w:t>.</w:t>
      </w:r>
    </w:p>
    <w:p w:rsidR="00B17D70" w:rsidRPr="006E698E" w:rsidRDefault="00295C72" w:rsidP="00295C72">
      <w:pPr>
        <w:pStyle w:val="rvps2"/>
        <w:spacing w:before="0" w:beforeAutospacing="0" w:after="0" w:afterAutospacing="0"/>
        <w:jc w:val="both"/>
        <w:rPr>
          <w:lang w:val="uk-UA"/>
        </w:rPr>
      </w:pPr>
      <w:r w:rsidRPr="006E698E">
        <w:rPr>
          <w:lang w:val="uk-UA"/>
        </w:rPr>
        <w:t xml:space="preserve"> </w:t>
      </w:r>
    </w:p>
    <w:p w:rsidR="00295C72" w:rsidRPr="006E698E" w:rsidRDefault="00295C72" w:rsidP="00295C72">
      <w:pPr>
        <w:pStyle w:val="a3"/>
        <w:numPr>
          <w:ilvl w:val="1"/>
          <w:numId w:val="1"/>
        </w:numPr>
        <w:ind w:left="567" w:hanging="567"/>
        <w:jc w:val="both"/>
        <w:rPr>
          <w:b/>
          <w:bCs/>
        </w:rPr>
      </w:pPr>
      <w:r w:rsidRPr="006E698E">
        <w:rPr>
          <w:b/>
          <w:bCs/>
        </w:rPr>
        <w:t>Оцінка заходу державної підтримки на відповідність критеріям у справі Altmark</w:t>
      </w:r>
    </w:p>
    <w:p w:rsidR="00295C72" w:rsidRPr="006E698E" w:rsidRDefault="00295C72" w:rsidP="00295C72">
      <w:pPr>
        <w:pStyle w:val="rvps2"/>
        <w:spacing w:before="0" w:beforeAutospacing="0" w:after="0" w:afterAutospacing="0"/>
        <w:jc w:val="both"/>
        <w:rPr>
          <w:lang w:val="uk-UA"/>
        </w:rPr>
      </w:pPr>
    </w:p>
    <w:p w:rsidR="00295C72" w:rsidRPr="006E698E" w:rsidRDefault="00295C72" w:rsidP="00295C72">
      <w:pPr>
        <w:pStyle w:val="rvps2"/>
        <w:numPr>
          <w:ilvl w:val="0"/>
          <w:numId w:val="2"/>
        </w:numPr>
        <w:spacing w:before="0" w:beforeAutospacing="0" w:after="0" w:afterAutospacing="0"/>
        <w:ind w:left="567" w:hanging="567"/>
        <w:jc w:val="both"/>
        <w:rPr>
          <w:lang w:val="uk-UA"/>
        </w:rPr>
      </w:pPr>
      <w:r w:rsidRPr="006E698E">
        <w:rPr>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295C72" w:rsidRPr="006E698E" w:rsidRDefault="00295C72" w:rsidP="00295C72">
      <w:pPr>
        <w:pStyle w:val="rvps2"/>
        <w:spacing w:before="0" w:beforeAutospacing="0" w:after="0" w:afterAutospacing="0"/>
        <w:ind w:left="567"/>
        <w:jc w:val="both"/>
        <w:rPr>
          <w:lang w:val="uk-UA"/>
        </w:rPr>
      </w:pPr>
    </w:p>
    <w:p w:rsidR="00295C72" w:rsidRPr="006E698E" w:rsidRDefault="00295C72" w:rsidP="00295C72">
      <w:pPr>
        <w:numPr>
          <w:ilvl w:val="0"/>
          <w:numId w:val="2"/>
        </w:numPr>
        <w:tabs>
          <w:tab w:val="left" w:pos="142"/>
          <w:tab w:val="left" w:pos="567"/>
        </w:tabs>
        <w:ind w:left="567" w:hanging="567"/>
        <w:jc w:val="both"/>
      </w:pPr>
      <w:r w:rsidRPr="006E698E">
        <w:t>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Altmark:</w:t>
      </w:r>
    </w:p>
    <w:p w:rsidR="00295C72" w:rsidRPr="006E698E" w:rsidRDefault="00295C72" w:rsidP="00295C72">
      <w:pPr>
        <w:pStyle w:val="a3"/>
      </w:pPr>
    </w:p>
    <w:p w:rsidR="00295C72" w:rsidRPr="006E698E" w:rsidRDefault="00295C72" w:rsidP="00295C72">
      <w:pPr>
        <w:pStyle w:val="a3"/>
        <w:numPr>
          <w:ilvl w:val="0"/>
          <w:numId w:val="3"/>
        </w:numPr>
        <w:ind w:left="567" w:hanging="567"/>
        <w:jc w:val="both"/>
        <w:rPr>
          <w:i/>
        </w:rPr>
      </w:pPr>
      <w:r w:rsidRPr="006E698E">
        <w:rPr>
          <w:i/>
        </w:rPr>
        <w:t>суб’єкт господарювання повинен виконувати зобов’язання з обслуговування населення, і ці зобов'язання чітко встановлені та визначені.</w:t>
      </w:r>
    </w:p>
    <w:p w:rsidR="00295C72" w:rsidRPr="006E698E" w:rsidRDefault="00295C72" w:rsidP="00295C72">
      <w:pPr>
        <w:pStyle w:val="a3"/>
        <w:ind w:left="567"/>
        <w:jc w:val="both"/>
      </w:pPr>
      <w:r w:rsidRPr="006E698E">
        <w:t>Зобов’язання КП БЦМР «Тролейбусне управління» з обслуговування населення чітко встановлені та визначені Законом України «Про міський електричний транспорт», Статутом, Договором 1, який містить чіткий перелік маршрутів, на яких Підприємство здійснює перевезення пасажирів електричним транспортом</w:t>
      </w:r>
      <w:r w:rsidR="00A11040">
        <w:t>,</w:t>
      </w:r>
      <w:r w:rsidRPr="006E698E">
        <w:t xml:space="preserve"> та Договором 2.</w:t>
      </w:r>
    </w:p>
    <w:p w:rsidR="00295C72" w:rsidRPr="006E698E" w:rsidRDefault="00295C72" w:rsidP="00295C72">
      <w:pPr>
        <w:pStyle w:val="a3"/>
        <w:ind w:left="567"/>
        <w:jc w:val="both"/>
      </w:pPr>
      <w:r w:rsidRPr="006E698E">
        <w:t>Предметом Договору 1 є пасажирські перевезення тролейбусами, він діє з 01.01.2021 по 31.12.2021 і набуває чинності з дати його уклад</w:t>
      </w:r>
      <w:r w:rsidR="00A11040">
        <w:t>е</w:t>
      </w:r>
      <w:r w:rsidRPr="006E698E">
        <w:t>ння. Цей договір вважається  продовжени</w:t>
      </w:r>
      <w:r w:rsidR="00A11040">
        <w:t>м</w:t>
      </w:r>
      <w:r w:rsidRPr="006E698E">
        <w:t xml:space="preserve">, якщо за місяць до закінчення строку його дії жодна </w:t>
      </w:r>
      <w:r w:rsidR="00A11040">
        <w:t>зі</w:t>
      </w:r>
      <w:r w:rsidR="00A11040" w:rsidRPr="006E698E">
        <w:t xml:space="preserve"> </w:t>
      </w:r>
      <w:r w:rsidRPr="006E698E">
        <w:t>сторін не заявила про розірвання договору або його перегляд.</w:t>
      </w:r>
    </w:p>
    <w:p w:rsidR="00295C72" w:rsidRPr="006E698E" w:rsidRDefault="00295C72" w:rsidP="00295C72">
      <w:pPr>
        <w:pStyle w:val="a3"/>
        <w:ind w:left="567"/>
        <w:jc w:val="both"/>
      </w:pPr>
      <w:r w:rsidRPr="006E698E">
        <w:t xml:space="preserve">Предметом Договору 2 є здійснення відшкодування витрат, пов’язаних </w:t>
      </w:r>
      <w:r w:rsidR="00604A8C">
        <w:t>і</w:t>
      </w:r>
      <w:r w:rsidRPr="006E698E">
        <w:t>з перевезенням громадян, які мають право на пільговий проїзд, у міському електричному транспорті за рахунок коштів місцевого бюджету. Цей договір діє з 01.01.2021 по 31.12.2021 і набуває чинності з дати його уклад</w:t>
      </w:r>
      <w:r w:rsidR="00604A8C">
        <w:t>е</w:t>
      </w:r>
      <w:r w:rsidRPr="006E698E">
        <w:t xml:space="preserve">ння, містить розрахунок обсягів відшкодування витрат за пільговий проїзд у міському електричному транспорті. </w:t>
      </w:r>
    </w:p>
    <w:p w:rsidR="00295C72" w:rsidRPr="006E698E" w:rsidRDefault="00295C72" w:rsidP="00295C72">
      <w:pPr>
        <w:pStyle w:val="a3"/>
        <w:ind w:left="567"/>
        <w:jc w:val="both"/>
      </w:pPr>
      <w:r w:rsidRPr="006E698E">
        <w:rPr>
          <w:u w:val="single"/>
        </w:rPr>
        <w:t>Отже, вимогу критерію дотримано;</w:t>
      </w:r>
    </w:p>
    <w:p w:rsidR="00295C72" w:rsidRPr="006E698E" w:rsidRDefault="00295C72" w:rsidP="00295C72">
      <w:pPr>
        <w:pStyle w:val="a3"/>
        <w:ind w:left="567"/>
        <w:jc w:val="both"/>
      </w:pPr>
    </w:p>
    <w:p w:rsidR="00295C72" w:rsidRPr="006E698E" w:rsidRDefault="00295C72" w:rsidP="00295C72">
      <w:pPr>
        <w:pStyle w:val="a3"/>
        <w:numPr>
          <w:ilvl w:val="0"/>
          <w:numId w:val="3"/>
        </w:numPr>
        <w:ind w:left="567" w:hanging="567"/>
        <w:jc w:val="both"/>
        <w:rPr>
          <w:i/>
        </w:rPr>
      </w:pPr>
      <w:r w:rsidRPr="006E698E">
        <w:rPr>
          <w:i/>
        </w:rPr>
        <w:t>параметри, на підставі яких розраховується компенсація, визначені заздалегідь об’єктивним і прозорим способом.</w:t>
      </w:r>
    </w:p>
    <w:p w:rsidR="00295C72" w:rsidRPr="006E698E" w:rsidRDefault="00295C72" w:rsidP="00295C72">
      <w:pPr>
        <w:pStyle w:val="a3"/>
        <w:ind w:left="567"/>
        <w:jc w:val="both"/>
      </w:pPr>
      <w:r w:rsidRPr="006E698E">
        <w:t>Надавач 1 та Надавач 2 не надали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295C72" w:rsidRPr="006E698E" w:rsidRDefault="00295C72" w:rsidP="00295C72">
      <w:pPr>
        <w:pStyle w:val="a3"/>
        <w:ind w:left="567"/>
        <w:jc w:val="both"/>
      </w:pPr>
      <w:r w:rsidRPr="006E698E">
        <w:rPr>
          <w:u w:val="single"/>
        </w:rPr>
        <w:t>Отже, вимогу критерію не дотримано;</w:t>
      </w:r>
    </w:p>
    <w:p w:rsidR="00295C72" w:rsidRPr="006E698E" w:rsidRDefault="00295C72" w:rsidP="00295C72">
      <w:pPr>
        <w:pStyle w:val="a3"/>
        <w:ind w:left="567"/>
        <w:jc w:val="both"/>
        <w:rPr>
          <w:i/>
        </w:rPr>
      </w:pPr>
    </w:p>
    <w:p w:rsidR="00295C72" w:rsidRPr="006E698E" w:rsidRDefault="00295C72" w:rsidP="00295C72">
      <w:pPr>
        <w:pStyle w:val="a3"/>
        <w:numPr>
          <w:ilvl w:val="0"/>
          <w:numId w:val="3"/>
        </w:numPr>
        <w:ind w:left="567" w:hanging="567"/>
        <w:jc w:val="both"/>
        <w:rPr>
          <w:i/>
        </w:rPr>
      </w:pPr>
      <w:r w:rsidRPr="006E698E">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295C72" w:rsidRPr="006E698E" w:rsidRDefault="00295C72" w:rsidP="00295C72">
      <w:pPr>
        <w:pStyle w:val="rvps2"/>
        <w:spacing w:before="0" w:beforeAutospacing="0" w:after="0" w:afterAutospacing="0"/>
        <w:ind w:left="567" w:hanging="567"/>
        <w:jc w:val="both"/>
        <w:rPr>
          <w:lang w:val="uk-UA" w:eastAsia="uk-UA"/>
        </w:rPr>
      </w:pPr>
      <w:r w:rsidRPr="006E698E">
        <w:rPr>
          <w:lang w:val="uk-UA" w:eastAsia="uk-UA"/>
        </w:rPr>
        <w:t xml:space="preserve">         </w:t>
      </w:r>
      <w:r w:rsidRPr="006E698E">
        <w:rPr>
          <w:bCs/>
          <w:lang w:val="uk-UA"/>
        </w:rPr>
        <w:t>Надавач 1</w:t>
      </w:r>
      <w:r w:rsidRPr="006E698E">
        <w:rPr>
          <w:lang w:val="uk-UA"/>
        </w:rPr>
        <w:t xml:space="preserve"> повідомив, що планує розробити</w:t>
      </w:r>
      <w:r w:rsidRPr="006E698E">
        <w:rPr>
          <w:lang w:val="uk-UA" w:eastAsia="uk-UA"/>
        </w:rPr>
        <w:t xml:space="preserve"> Методику розрахунку компенсації на надання послуг, що становлять загальний економічний інтерес, відповідно до Регламенту, та не надав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295C72" w:rsidRPr="006E698E" w:rsidRDefault="00295C72" w:rsidP="00295C72">
      <w:pPr>
        <w:pStyle w:val="a3"/>
        <w:ind w:left="567"/>
        <w:jc w:val="both"/>
        <w:rPr>
          <w:u w:val="single"/>
        </w:rPr>
      </w:pPr>
      <w:r w:rsidRPr="006E698E">
        <w:rPr>
          <w:u w:val="single"/>
        </w:rPr>
        <w:t xml:space="preserve">Отже, вимогу критерію не дотримано; </w:t>
      </w:r>
    </w:p>
    <w:p w:rsidR="00295C72" w:rsidRPr="006E698E" w:rsidRDefault="00295C72" w:rsidP="00295C72">
      <w:pPr>
        <w:pStyle w:val="a3"/>
        <w:ind w:left="567"/>
        <w:jc w:val="both"/>
      </w:pPr>
    </w:p>
    <w:p w:rsidR="00295C72" w:rsidRPr="006E698E" w:rsidRDefault="00295C72" w:rsidP="00295C72">
      <w:pPr>
        <w:pStyle w:val="a3"/>
        <w:numPr>
          <w:ilvl w:val="0"/>
          <w:numId w:val="16"/>
        </w:numPr>
        <w:ind w:left="567" w:hanging="567"/>
        <w:jc w:val="both"/>
        <w:rPr>
          <w:i/>
          <w:iCs/>
        </w:rPr>
      </w:pPr>
      <w:r w:rsidRPr="006E698E">
        <w:rPr>
          <w:i/>
          <w:iCs/>
        </w:rPr>
        <w:t xml:space="preserve">суб’єкт господарювання, який надає ці послуги, повинен бути обраний шляхом проведення процедури публічних закупівель, при цьому процедура має бути відкритою, прозорою та недискримінаційною, яка дозволяє обрати надавача послуг, який міг би </w:t>
      </w:r>
      <w:r w:rsidRPr="006E698E">
        <w:rPr>
          <w:i/>
          <w:iCs/>
        </w:rPr>
        <w:lastRenderedPageBreak/>
        <w:t xml:space="preserve">забезпечити ці послуги 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 </w:t>
      </w:r>
    </w:p>
    <w:p w:rsidR="00295C72" w:rsidRPr="006E698E" w:rsidRDefault="00295C72" w:rsidP="00295C72">
      <w:pPr>
        <w:ind w:left="567"/>
        <w:jc w:val="both"/>
        <w:rPr>
          <w:i/>
          <w:iCs/>
        </w:rPr>
      </w:pPr>
      <w:r w:rsidRPr="006E698E">
        <w:rPr>
          <w:i/>
          <w:iCs/>
        </w:rPr>
        <w:t>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295C72" w:rsidRPr="006E698E" w:rsidRDefault="00295C72" w:rsidP="00295C72">
      <w:pPr>
        <w:ind w:left="567"/>
        <w:jc w:val="both"/>
        <w:rPr>
          <w:i/>
          <w:iCs/>
        </w:rPr>
      </w:pPr>
      <w:r w:rsidRPr="006E698E">
        <w:t xml:space="preserve">Закон України «Про міський електричний транспорт» не передбачає проведення конкурсу з перевезення пасажирів електричним транспортом на маршрутах загального користування. </w:t>
      </w:r>
    </w:p>
    <w:p w:rsidR="00295C72" w:rsidRPr="006E698E" w:rsidRDefault="00295C72" w:rsidP="00295C72">
      <w:pPr>
        <w:pStyle w:val="a3"/>
        <w:ind w:left="567"/>
        <w:jc w:val="both"/>
      </w:pPr>
      <w:r w:rsidRPr="006E698E">
        <w:t xml:space="preserve">Разом </w:t>
      </w:r>
      <w:r w:rsidR="00B25D85">
        <w:t>і</w:t>
      </w:r>
      <w:r w:rsidRPr="006E698E">
        <w:t>з цим Надавач 1 та Надавач 2 не надали інформації щодо аналізу витрат, які є типовими для цього суб’єкта господарювання (Отримувача).</w:t>
      </w:r>
    </w:p>
    <w:p w:rsidR="00295C72" w:rsidRPr="006E698E" w:rsidRDefault="00295C72" w:rsidP="00295C72">
      <w:pPr>
        <w:pStyle w:val="a3"/>
        <w:ind w:left="567"/>
        <w:jc w:val="both"/>
        <w:rPr>
          <w:u w:val="single"/>
        </w:rPr>
      </w:pPr>
      <w:r w:rsidRPr="006E698E">
        <w:rPr>
          <w:u w:val="single"/>
        </w:rPr>
        <w:t>Отже, вимогу критерію не дотримано.</w:t>
      </w:r>
    </w:p>
    <w:p w:rsidR="00295C72" w:rsidRPr="006E698E" w:rsidRDefault="00295C72" w:rsidP="00295C72">
      <w:pPr>
        <w:pStyle w:val="a3"/>
        <w:ind w:left="567"/>
        <w:jc w:val="both"/>
        <w:rPr>
          <w:u w:val="single"/>
        </w:rPr>
      </w:pPr>
    </w:p>
    <w:p w:rsidR="00295C72" w:rsidRPr="006E698E" w:rsidRDefault="00295C72" w:rsidP="00295C72">
      <w:pPr>
        <w:numPr>
          <w:ilvl w:val="0"/>
          <w:numId w:val="2"/>
        </w:numPr>
        <w:tabs>
          <w:tab w:val="left" w:pos="0"/>
        </w:tabs>
        <w:ind w:left="567" w:hanging="567"/>
        <w:jc w:val="both"/>
      </w:pPr>
      <w:r w:rsidRPr="006E698E">
        <w:t>Надавач 1 та Надавач 2 не надали достатніх обґрунтувань того, що розмір компенсації на надання послуг, що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295C72" w:rsidRPr="006E698E" w:rsidRDefault="00295C72" w:rsidP="00295C72">
      <w:pPr>
        <w:tabs>
          <w:tab w:val="left" w:pos="0"/>
        </w:tabs>
        <w:ind w:left="567"/>
        <w:jc w:val="both"/>
      </w:pPr>
    </w:p>
    <w:p w:rsidR="00295C72" w:rsidRPr="006E698E" w:rsidRDefault="00295C72" w:rsidP="00295C72">
      <w:pPr>
        <w:numPr>
          <w:ilvl w:val="0"/>
          <w:numId w:val="2"/>
        </w:numPr>
        <w:tabs>
          <w:tab w:val="left" w:pos="0"/>
        </w:tabs>
        <w:ind w:left="567" w:hanging="567"/>
        <w:jc w:val="both"/>
      </w:pPr>
      <w:r w:rsidRPr="006E698E">
        <w:rPr>
          <w:u w:val="single"/>
        </w:rPr>
        <w:t>Враховуючи викладене, чотирьох сукупних критеріїв Altmark кумулятивно не дотримано</w:t>
      </w:r>
      <w:r w:rsidRPr="006E698E">
        <w:t>.</w:t>
      </w:r>
    </w:p>
    <w:p w:rsidR="00295C72" w:rsidRPr="006E698E" w:rsidRDefault="00295C72" w:rsidP="00295C72">
      <w:pPr>
        <w:pStyle w:val="a3"/>
      </w:pPr>
    </w:p>
    <w:p w:rsidR="00295C72" w:rsidRPr="006E698E" w:rsidRDefault="00295C72" w:rsidP="00295C72">
      <w:pPr>
        <w:numPr>
          <w:ilvl w:val="0"/>
          <w:numId w:val="2"/>
        </w:numPr>
        <w:tabs>
          <w:tab w:val="left" w:pos="142"/>
        </w:tabs>
        <w:ind w:left="567" w:hanging="567"/>
        <w:jc w:val="both"/>
        <w:rPr>
          <w:rStyle w:val="aff"/>
          <w:b w:val="0"/>
          <w:bCs w:val="0"/>
        </w:rPr>
      </w:pPr>
      <w:r w:rsidRPr="006E698E">
        <w:t xml:space="preserve">Отже, </w:t>
      </w:r>
      <w:r w:rsidRPr="006E698E">
        <w:rPr>
          <w:bCs/>
        </w:rPr>
        <w:t xml:space="preserve">державна підтримка для здійснення заходів щодо компенсації витрат за ПЗЕІ </w:t>
      </w:r>
      <w:r w:rsidRPr="006E698E">
        <w:t xml:space="preserve">для покращення якості надання послуг </w:t>
      </w:r>
      <w:r w:rsidR="00B25D85">
        <w:t>і</w:t>
      </w:r>
      <w:r w:rsidRPr="006E698E">
        <w:t xml:space="preserve">з перевезення пасажирів міським електричним транспортом та збільшення питомої ваги електротранспорту </w:t>
      </w:r>
      <w:r w:rsidR="00B25D85">
        <w:t>в</w:t>
      </w:r>
      <w:r w:rsidR="00B25D85" w:rsidRPr="006E698E">
        <w:t xml:space="preserve"> </w:t>
      </w:r>
      <w:r w:rsidRPr="006E698E">
        <w:t xml:space="preserve">міських пасажирських перевезеннях, </w:t>
      </w:r>
      <w:r w:rsidRPr="006E698E">
        <w:rPr>
          <w:bCs/>
          <w:u w:val="single"/>
        </w:rPr>
        <w:t xml:space="preserve">не може вважатися </w:t>
      </w:r>
      <w:r w:rsidRPr="006E698E">
        <w:rPr>
          <w:u w:val="single"/>
        </w:rPr>
        <w:t>компенсацією обґрунтованих витрат на надання послуг, що становлять загальний економічний інтерес</w:t>
      </w:r>
      <w:r w:rsidRPr="006E698E">
        <w:t xml:space="preserve">, відповідно до частини другої статті 3 Закону, </w:t>
      </w:r>
      <w:r w:rsidRPr="006E698E">
        <w:rPr>
          <w:bCs/>
        </w:rPr>
        <w:t>що не є державною допомогою.</w:t>
      </w:r>
    </w:p>
    <w:p w:rsidR="00295C72" w:rsidRPr="006E698E" w:rsidRDefault="00295C72" w:rsidP="00295C72">
      <w:pPr>
        <w:jc w:val="both"/>
      </w:pPr>
    </w:p>
    <w:p w:rsidR="00295C72" w:rsidRPr="006E698E" w:rsidRDefault="00295C72" w:rsidP="00295C72">
      <w:pPr>
        <w:pStyle w:val="rvps2"/>
        <w:numPr>
          <w:ilvl w:val="1"/>
          <w:numId w:val="1"/>
        </w:numPr>
        <w:spacing w:before="0" w:beforeAutospacing="0" w:after="0" w:afterAutospacing="0"/>
        <w:ind w:left="567" w:hanging="567"/>
        <w:jc w:val="both"/>
        <w:rPr>
          <w:lang w:val="uk-UA"/>
        </w:rPr>
      </w:pPr>
      <w:r w:rsidRPr="006E698E">
        <w:rPr>
          <w:b/>
          <w:lang w:val="uk-UA"/>
        </w:rPr>
        <w:t>Визнання належності заходу підтримки до державної допомоги</w:t>
      </w:r>
    </w:p>
    <w:p w:rsidR="00295C72" w:rsidRPr="006E698E" w:rsidRDefault="00295C72" w:rsidP="00295C72">
      <w:pPr>
        <w:pStyle w:val="rvps2"/>
        <w:spacing w:before="0" w:beforeAutospacing="0" w:after="0" w:afterAutospacing="0"/>
        <w:ind w:left="567"/>
        <w:jc w:val="both"/>
        <w:rPr>
          <w:lang w:val="uk-UA"/>
        </w:rPr>
      </w:pPr>
    </w:p>
    <w:p w:rsidR="00295C72" w:rsidRPr="006E698E" w:rsidRDefault="00295C72" w:rsidP="00295C72">
      <w:pPr>
        <w:pStyle w:val="rvps2"/>
        <w:numPr>
          <w:ilvl w:val="2"/>
          <w:numId w:val="1"/>
        </w:numPr>
        <w:spacing w:before="0" w:beforeAutospacing="0" w:after="0" w:afterAutospacing="0"/>
        <w:ind w:left="567" w:hanging="567"/>
        <w:jc w:val="both"/>
        <w:rPr>
          <w:b/>
          <w:lang w:val="uk-UA"/>
        </w:rPr>
      </w:pPr>
      <w:r w:rsidRPr="006E698E">
        <w:rPr>
          <w:b/>
          <w:lang w:val="uk-UA"/>
        </w:rPr>
        <w:t>Надання підтримки суб’єкту господарювання</w:t>
      </w:r>
    </w:p>
    <w:p w:rsidR="00295C72" w:rsidRPr="006E698E" w:rsidRDefault="00295C72" w:rsidP="00295C72">
      <w:pPr>
        <w:pStyle w:val="rvps2"/>
        <w:spacing w:before="0" w:beforeAutospacing="0" w:after="0" w:afterAutospacing="0"/>
        <w:ind w:left="567"/>
        <w:jc w:val="both"/>
        <w:rPr>
          <w:lang w:val="uk-UA"/>
        </w:rPr>
      </w:pPr>
    </w:p>
    <w:p w:rsidR="00295C72" w:rsidRPr="006E698E" w:rsidRDefault="00295C72" w:rsidP="00295C72">
      <w:pPr>
        <w:pStyle w:val="rvps2"/>
        <w:numPr>
          <w:ilvl w:val="0"/>
          <w:numId w:val="2"/>
        </w:numPr>
        <w:spacing w:before="0" w:beforeAutospacing="0" w:after="0" w:afterAutospacing="0"/>
        <w:ind w:left="567" w:hanging="567"/>
        <w:jc w:val="both"/>
        <w:rPr>
          <w:lang w:val="uk-UA"/>
        </w:rPr>
      </w:pPr>
      <w:r w:rsidRPr="006E698E">
        <w:rPr>
          <w:lang w:val="uk-UA"/>
        </w:rPr>
        <w:t>Статтею 1 Закону України «Про захист економічної конкуренції» передбачено, що суб</w:t>
      </w:r>
      <w:r w:rsidR="00966758">
        <w:rPr>
          <w:lang w:val="uk-UA"/>
        </w:rPr>
        <w:t>’</w:t>
      </w:r>
      <w:r w:rsidRPr="006E698E">
        <w:rPr>
          <w:lang w:val="uk-UA"/>
        </w:rPr>
        <w:t>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w:t>
      </w:r>
      <w:r w:rsidR="00966758">
        <w:rPr>
          <w:lang w:val="uk-UA"/>
        </w:rPr>
        <w:t>’</w:t>
      </w:r>
      <w:r w:rsidRPr="006E698E">
        <w:rPr>
          <w:lang w:val="uk-UA"/>
        </w:rPr>
        <w:t>єктів господарювання, якщо один або декілька з них здійснюють контроль над іншими.</w:t>
      </w:r>
    </w:p>
    <w:p w:rsidR="00295C72" w:rsidRPr="006E698E" w:rsidRDefault="00295C72" w:rsidP="00295C72">
      <w:pPr>
        <w:pStyle w:val="rvps2"/>
        <w:spacing w:before="0" w:beforeAutospacing="0" w:after="0" w:afterAutospacing="0"/>
        <w:ind w:left="567"/>
        <w:jc w:val="both"/>
        <w:rPr>
          <w:lang w:val="uk-UA"/>
        </w:rPr>
      </w:pPr>
    </w:p>
    <w:p w:rsidR="00B17D70" w:rsidRPr="0010609F" w:rsidRDefault="00295C72" w:rsidP="0010609F">
      <w:pPr>
        <w:pStyle w:val="rvps2"/>
        <w:numPr>
          <w:ilvl w:val="0"/>
          <w:numId w:val="2"/>
        </w:numPr>
        <w:spacing w:before="0" w:beforeAutospacing="0" w:after="0" w:afterAutospacing="0"/>
        <w:ind w:left="567" w:hanging="567"/>
        <w:jc w:val="both"/>
        <w:rPr>
          <w:lang w:val="uk-UA"/>
        </w:rPr>
      </w:pPr>
      <w:r w:rsidRPr="006E698E">
        <w:rPr>
          <w:lang w:val="uk-UA" w:eastAsia="uk-UA"/>
        </w:rPr>
        <w:t>Отже, КП БЦМР «Тролейбусне управління»</w:t>
      </w:r>
      <w:r w:rsidRPr="006E698E">
        <w:rPr>
          <w:lang w:val="uk-UA"/>
        </w:rPr>
        <w:t xml:space="preserve">, якому надається державна підтримка у формі </w:t>
      </w:r>
      <w:r w:rsidRPr="006E698E">
        <w:rPr>
          <w:lang w:val="uk-UA" w:eastAsia="uk-UA"/>
        </w:rPr>
        <w:t>субсидій та поточних трансфертів (</w:t>
      </w:r>
      <w:r w:rsidRPr="006E698E">
        <w:rPr>
          <w:rFonts w:eastAsiaTheme="minorHAnsi"/>
          <w:lang w:val="uk-UA" w:eastAsia="en-US"/>
        </w:rPr>
        <w:t xml:space="preserve">відповідно до Програми 1 та </w:t>
      </w:r>
      <w:r w:rsidR="0079254C" w:rsidRPr="006E698E">
        <w:rPr>
          <w:rFonts w:eastAsiaTheme="minorHAnsi"/>
          <w:lang w:val="uk-UA"/>
        </w:rPr>
        <w:t>Програми 2</w:t>
      </w:r>
      <w:r w:rsidRPr="006E698E">
        <w:rPr>
          <w:rFonts w:eastAsiaTheme="minorHAnsi"/>
          <w:lang w:val="uk-UA" w:eastAsia="en-US"/>
        </w:rPr>
        <w:t>)</w:t>
      </w:r>
      <w:r w:rsidRPr="006E698E">
        <w:rPr>
          <w:lang w:val="uk-UA" w:eastAsia="uk-UA"/>
        </w:rPr>
        <w:t xml:space="preserve"> та капітальних трансфертів (в</w:t>
      </w:r>
      <w:r w:rsidRPr="006E698E">
        <w:rPr>
          <w:rFonts w:eastAsiaTheme="minorHAnsi"/>
          <w:lang w:val="uk-UA" w:eastAsia="en-US"/>
        </w:rPr>
        <w:t xml:space="preserve">ідповідно до Програми </w:t>
      </w:r>
      <w:r w:rsidR="0079254C" w:rsidRPr="006E698E">
        <w:rPr>
          <w:rFonts w:eastAsiaTheme="minorHAnsi"/>
          <w:lang w:val="uk-UA" w:eastAsia="en-US"/>
        </w:rPr>
        <w:t>3</w:t>
      </w:r>
      <w:r w:rsidRPr="006E698E">
        <w:rPr>
          <w:rFonts w:eastAsiaTheme="minorHAnsi"/>
          <w:lang w:val="uk-UA" w:eastAsia="en-US"/>
        </w:rPr>
        <w:t>)</w:t>
      </w:r>
      <w:r w:rsidRPr="006E698E">
        <w:rPr>
          <w:lang w:val="uk-UA" w:eastAsia="uk-UA"/>
        </w:rPr>
        <w:t xml:space="preserve"> для </w:t>
      </w:r>
      <w:r w:rsidRPr="006E698E">
        <w:rPr>
          <w:lang w:val="uk-UA"/>
        </w:rPr>
        <w:t xml:space="preserve">покращення якості надання послуг </w:t>
      </w:r>
      <w:r w:rsidR="00966758">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електротранспорту </w:t>
      </w:r>
      <w:r w:rsidR="007D5B2E">
        <w:rPr>
          <w:lang w:val="uk-UA" w:eastAsia="uk-UA"/>
        </w:rPr>
        <w:t>в</w:t>
      </w:r>
      <w:r w:rsidR="007D5B2E" w:rsidRPr="006E698E">
        <w:rPr>
          <w:lang w:val="uk-UA" w:eastAsia="uk-UA"/>
        </w:rPr>
        <w:t xml:space="preserve"> </w:t>
      </w:r>
      <w:r w:rsidRPr="006E698E">
        <w:rPr>
          <w:lang w:val="uk-UA" w:eastAsia="uk-UA"/>
        </w:rPr>
        <w:t>міських пасажирських перевезеннях</w:t>
      </w:r>
      <w:r w:rsidRPr="006E698E">
        <w:rPr>
          <w:rFonts w:eastAsiaTheme="minorHAnsi"/>
          <w:lang w:val="uk-UA"/>
        </w:rPr>
        <w:t>,</w:t>
      </w:r>
      <w:r w:rsidRPr="006E698E">
        <w:rPr>
          <w:lang w:val="uk-UA"/>
        </w:rPr>
        <w:t xml:space="preserve"> </w:t>
      </w:r>
      <w:r w:rsidRPr="006E698E">
        <w:rPr>
          <w:u w:val="single"/>
          <w:lang w:val="uk-UA"/>
        </w:rPr>
        <w:t xml:space="preserve">є суб’єктом господарювання </w:t>
      </w:r>
      <w:r w:rsidR="007D5B2E">
        <w:rPr>
          <w:u w:val="single"/>
          <w:lang w:val="uk-UA"/>
        </w:rPr>
        <w:t>в</w:t>
      </w:r>
      <w:r w:rsidR="007D5B2E" w:rsidRPr="006E698E">
        <w:rPr>
          <w:u w:val="single"/>
          <w:lang w:val="uk-UA"/>
        </w:rPr>
        <w:t xml:space="preserve"> </w:t>
      </w:r>
      <w:r w:rsidRPr="006E698E">
        <w:rPr>
          <w:u w:val="single"/>
          <w:lang w:val="uk-UA"/>
        </w:rPr>
        <w:t>розумінні статті 1 Закону України «Про захист економічної конкуренції»</w:t>
      </w:r>
      <w:r w:rsidRPr="006E698E">
        <w:rPr>
          <w:lang w:val="uk-UA"/>
        </w:rPr>
        <w:t>.</w:t>
      </w:r>
    </w:p>
    <w:p w:rsidR="00B17D70" w:rsidRPr="006E698E" w:rsidRDefault="00B17D70" w:rsidP="00295C72">
      <w:pPr>
        <w:pStyle w:val="a3"/>
      </w:pPr>
    </w:p>
    <w:p w:rsidR="00295C72" w:rsidRPr="006E698E" w:rsidRDefault="00295C72" w:rsidP="00295C72">
      <w:pPr>
        <w:pStyle w:val="rvps2"/>
        <w:numPr>
          <w:ilvl w:val="2"/>
          <w:numId w:val="1"/>
        </w:numPr>
        <w:spacing w:before="0" w:beforeAutospacing="0" w:after="0" w:afterAutospacing="0"/>
        <w:ind w:left="567" w:hanging="567"/>
        <w:contextualSpacing/>
        <w:jc w:val="both"/>
        <w:rPr>
          <w:b/>
          <w:lang w:val="uk-UA"/>
        </w:rPr>
      </w:pPr>
      <w:r w:rsidRPr="006E698E">
        <w:rPr>
          <w:b/>
          <w:bCs/>
          <w:color w:val="000000" w:themeColor="text1"/>
          <w:lang w:val="uk-UA"/>
        </w:rPr>
        <w:lastRenderedPageBreak/>
        <w:t>Надання підтримки за рахунок місцевих ресурсів</w:t>
      </w:r>
    </w:p>
    <w:p w:rsidR="00295C72" w:rsidRPr="006E698E" w:rsidRDefault="00295C72" w:rsidP="00295C72">
      <w:pPr>
        <w:pStyle w:val="rvps2"/>
        <w:spacing w:before="0" w:beforeAutospacing="0" w:after="0" w:afterAutospacing="0"/>
        <w:contextualSpacing/>
        <w:jc w:val="both"/>
        <w:rPr>
          <w:b/>
          <w:bCs/>
          <w:lang w:val="uk-UA"/>
        </w:rPr>
      </w:pPr>
    </w:p>
    <w:p w:rsidR="00295C72" w:rsidRPr="006E698E" w:rsidRDefault="00295C72" w:rsidP="00295C72">
      <w:pPr>
        <w:numPr>
          <w:ilvl w:val="0"/>
          <w:numId w:val="2"/>
        </w:numPr>
        <w:ind w:left="567" w:hanging="567"/>
        <w:contextualSpacing/>
        <w:jc w:val="both"/>
        <w:rPr>
          <w:bCs/>
        </w:rPr>
      </w:pPr>
      <w:r w:rsidRPr="006E698E">
        <w:rPr>
          <w:bCs/>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295C72" w:rsidRPr="006E698E" w:rsidRDefault="00295C72" w:rsidP="00295C72">
      <w:pPr>
        <w:pStyle w:val="rvps2"/>
        <w:spacing w:before="0" w:beforeAutospacing="0" w:after="0" w:afterAutospacing="0"/>
        <w:ind w:left="567"/>
        <w:contextualSpacing/>
        <w:jc w:val="both"/>
        <w:rPr>
          <w:bCs/>
          <w:lang w:val="uk-UA"/>
        </w:rPr>
      </w:pPr>
    </w:p>
    <w:p w:rsidR="00295C72" w:rsidRPr="006E698E" w:rsidRDefault="00295C72" w:rsidP="00295C72">
      <w:pPr>
        <w:numPr>
          <w:ilvl w:val="0"/>
          <w:numId w:val="2"/>
        </w:numPr>
        <w:ind w:left="567" w:hanging="567"/>
        <w:contextualSpacing/>
        <w:jc w:val="both"/>
        <w:rPr>
          <w:bCs/>
        </w:rPr>
      </w:pPr>
      <w:r w:rsidRPr="006E698E">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295C72" w:rsidRPr="006E698E" w:rsidRDefault="00295C72" w:rsidP="00295C72">
      <w:pPr>
        <w:pStyle w:val="a3"/>
        <w:rPr>
          <w:bCs/>
        </w:rPr>
      </w:pPr>
    </w:p>
    <w:p w:rsidR="00295C72" w:rsidRPr="006E698E" w:rsidRDefault="00295C72" w:rsidP="00295C72">
      <w:pPr>
        <w:pStyle w:val="rvps2"/>
        <w:numPr>
          <w:ilvl w:val="0"/>
          <w:numId w:val="2"/>
        </w:numPr>
        <w:spacing w:before="0" w:beforeAutospacing="0" w:after="0" w:afterAutospacing="0"/>
        <w:ind w:left="567" w:hanging="567"/>
        <w:contextualSpacing/>
        <w:jc w:val="both"/>
        <w:rPr>
          <w:bCs/>
          <w:lang w:val="uk-UA"/>
        </w:rPr>
      </w:pPr>
      <w:r w:rsidRPr="006E698E">
        <w:rPr>
          <w:lang w:val="uk-UA" w:eastAsia="uk-UA"/>
        </w:rPr>
        <w:t xml:space="preserve">Отже, надання підтримки КП БЦМР «Тролейбусне управління» </w:t>
      </w:r>
      <w:r w:rsidRPr="006E698E">
        <w:rPr>
          <w:lang w:val="uk-UA"/>
        </w:rPr>
        <w:t xml:space="preserve">у формі </w:t>
      </w:r>
      <w:r w:rsidRPr="006E698E">
        <w:rPr>
          <w:rFonts w:eastAsiaTheme="minorHAnsi"/>
          <w:lang w:val="uk-UA" w:eastAsia="en-US"/>
        </w:rPr>
        <w:t xml:space="preserve">поповнення </w:t>
      </w:r>
      <w:r w:rsidRPr="006E698E">
        <w:rPr>
          <w:lang w:val="uk-UA" w:eastAsia="uk-UA"/>
        </w:rPr>
        <w:t>субсидій та поточних трансфертів (</w:t>
      </w:r>
      <w:r w:rsidRPr="006E698E">
        <w:rPr>
          <w:rFonts w:eastAsiaTheme="minorHAnsi"/>
          <w:lang w:val="uk-UA" w:eastAsia="en-US"/>
        </w:rPr>
        <w:t xml:space="preserve">відповідно до Програми 1 </w:t>
      </w:r>
      <w:r w:rsidR="00256CB5">
        <w:rPr>
          <w:rFonts w:eastAsiaTheme="minorHAnsi"/>
          <w:lang w:val="uk-UA" w:eastAsia="en-US"/>
        </w:rPr>
        <w:t>і</w:t>
      </w:r>
      <w:r w:rsidR="00256CB5" w:rsidRPr="006E698E">
        <w:rPr>
          <w:rFonts w:eastAsiaTheme="minorHAnsi"/>
          <w:lang w:val="uk-UA" w:eastAsia="en-US"/>
        </w:rPr>
        <w:t xml:space="preserve"> </w:t>
      </w:r>
      <w:r w:rsidR="0079254C" w:rsidRPr="006E698E">
        <w:rPr>
          <w:rFonts w:eastAsiaTheme="minorHAnsi"/>
          <w:lang w:val="uk-UA"/>
        </w:rPr>
        <w:t>Програми 2</w:t>
      </w:r>
      <w:r w:rsidRPr="006E698E">
        <w:rPr>
          <w:rFonts w:eastAsiaTheme="minorHAnsi"/>
          <w:lang w:val="uk-UA" w:eastAsia="en-US"/>
        </w:rPr>
        <w:t>)</w:t>
      </w:r>
      <w:r w:rsidRPr="006E698E">
        <w:rPr>
          <w:lang w:val="uk-UA" w:eastAsia="uk-UA"/>
        </w:rPr>
        <w:t xml:space="preserve"> та капітальних трансфертів (в</w:t>
      </w:r>
      <w:r w:rsidRPr="006E698E">
        <w:rPr>
          <w:rFonts w:eastAsiaTheme="minorHAnsi"/>
          <w:lang w:val="uk-UA" w:eastAsia="en-US"/>
        </w:rPr>
        <w:t xml:space="preserve">ідповідно до Програми </w:t>
      </w:r>
      <w:r w:rsidR="0079254C" w:rsidRPr="006E698E">
        <w:rPr>
          <w:rFonts w:eastAsiaTheme="minorHAnsi"/>
          <w:lang w:val="uk-UA" w:eastAsia="en-US"/>
        </w:rPr>
        <w:t>3</w:t>
      </w:r>
      <w:r w:rsidRPr="006E698E">
        <w:rPr>
          <w:rFonts w:eastAsiaTheme="minorHAnsi"/>
          <w:lang w:val="uk-UA" w:eastAsia="en-US"/>
        </w:rPr>
        <w:t>)</w:t>
      </w:r>
      <w:r w:rsidRPr="006E698E">
        <w:rPr>
          <w:lang w:val="uk-UA" w:eastAsia="uk-UA"/>
        </w:rPr>
        <w:t xml:space="preserve"> для </w:t>
      </w:r>
      <w:r w:rsidRPr="006E698E">
        <w:rPr>
          <w:lang w:val="uk-UA"/>
        </w:rPr>
        <w:t xml:space="preserve">покращення якості надання послуг </w:t>
      </w:r>
      <w:r w:rsidR="00256CB5">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електротранспорту </w:t>
      </w:r>
      <w:r w:rsidR="007D5B2E">
        <w:rPr>
          <w:lang w:val="uk-UA" w:eastAsia="uk-UA"/>
        </w:rPr>
        <w:t>в</w:t>
      </w:r>
      <w:r w:rsidR="007D5B2E" w:rsidRPr="006E698E">
        <w:rPr>
          <w:lang w:val="uk-UA" w:eastAsia="uk-UA"/>
        </w:rPr>
        <w:t xml:space="preserve"> </w:t>
      </w:r>
      <w:r w:rsidRPr="006E698E">
        <w:rPr>
          <w:lang w:val="uk-UA" w:eastAsia="uk-UA"/>
        </w:rPr>
        <w:t>міських пасажирських перевезеннях</w:t>
      </w:r>
      <w:r w:rsidRPr="006E698E">
        <w:rPr>
          <w:lang w:val="uk-UA"/>
        </w:rPr>
        <w:t xml:space="preserve"> </w:t>
      </w:r>
      <w:r w:rsidRPr="006E698E">
        <w:rPr>
          <w:u w:val="single"/>
          <w:lang w:val="uk-UA" w:eastAsia="uk-UA"/>
        </w:rPr>
        <w:t>здійснюється за рахунок коштів місцевого бюджету міста Біла Церква</w:t>
      </w:r>
      <w:r w:rsidRPr="006E698E">
        <w:rPr>
          <w:u w:val="single"/>
          <w:lang w:val="uk-UA"/>
        </w:rPr>
        <w:t>,</w:t>
      </w:r>
      <w:r w:rsidRPr="006E698E">
        <w:rPr>
          <w:b/>
          <w:u w:val="single"/>
          <w:lang w:val="uk-UA"/>
        </w:rPr>
        <w:t xml:space="preserve"> </w:t>
      </w:r>
      <w:r w:rsidRPr="006E698E">
        <w:rPr>
          <w:u w:val="single"/>
          <w:lang w:val="uk-UA" w:eastAsia="uk-UA"/>
        </w:rPr>
        <w:t>тобто за рахунок місцевих ресурсів у розумінні Закону України «Про державну допомогу суб’єктам господарювання»</w:t>
      </w:r>
      <w:r w:rsidRPr="006E698E">
        <w:rPr>
          <w:lang w:val="uk-UA" w:eastAsia="uk-UA"/>
        </w:rPr>
        <w:t>.</w:t>
      </w:r>
    </w:p>
    <w:p w:rsidR="00163798" w:rsidRPr="006E698E" w:rsidRDefault="00163798" w:rsidP="00295C72">
      <w:pPr>
        <w:pStyle w:val="rvps2"/>
        <w:spacing w:before="0" w:beforeAutospacing="0" w:after="0" w:afterAutospacing="0"/>
        <w:ind w:left="567"/>
        <w:jc w:val="both"/>
        <w:rPr>
          <w:lang w:val="uk-UA"/>
        </w:rPr>
      </w:pPr>
    </w:p>
    <w:p w:rsidR="00295C72" w:rsidRPr="006E698E" w:rsidRDefault="00295C72" w:rsidP="00295C72">
      <w:pPr>
        <w:pStyle w:val="rvps2"/>
        <w:numPr>
          <w:ilvl w:val="2"/>
          <w:numId w:val="1"/>
        </w:numPr>
        <w:spacing w:before="0" w:beforeAutospacing="0" w:after="0" w:afterAutospacing="0"/>
        <w:ind w:left="567" w:hanging="567"/>
        <w:jc w:val="both"/>
        <w:rPr>
          <w:lang w:val="uk-UA"/>
        </w:rPr>
      </w:pPr>
      <w:r w:rsidRPr="006E698E">
        <w:rPr>
          <w:b/>
          <w:bCs/>
          <w:lang w:val="uk-UA"/>
        </w:rPr>
        <w:t>Створення переваг для виробництва окремих видів товарів чи провадження окремих видів господарської діяльності</w:t>
      </w:r>
    </w:p>
    <w:p w:rsidR="00295C72" w:rsidRPr="006E698E" w:rsidRDefault="00295C72" w:rsidP="00295C72">
      <w:pPr>
        <w:pStyle w:val="rvps2"/>
        <w:spacing w:before="0" w:beforeAutospacing="0" w:after="0" w:afterAutospacing="0"/>
        <w:ind w:left="567"/>
        <w:jc w:val="both"/>
        <w:rPr>
          <w:b/>
          <w:bCs/>
          <w:lang w:val="uk-UA"/>
        </w:rPr>
      </w:pPr>
    </w:p>
    <w:p w:rsidR="00295C72" w:rsidRPr="006E698E" w:rsidRDefault="00295C72" w:rsidP="00295C72">
      <w:pPr>
        <w:numPr>
          <w:ilvl w:val="0"/>
          <w:numId w:val="2"/>
        </w:numPr>
        <w:ind w:left="567" w:hanging="567"/>
        <w:contextualSpacing/>
        <w:jc w:val="both"/>
        <w:rPr>
          <w:bCs/>
        </w:rPr>
      </w:pPr>
      <w:bookmarkStart w:id="6" w:name="_Hlk67564989"/>
      <w:r w:rsidRPr="006E698E">
        <w:t>Згідно з пунктом 66 Повідомлення Європейської комісії щодо поняття державної допомоги</w:t>
      </w:r>
      <w:r w:rsidR="007D5B2E">
        <w:t>,</w:t>
      </w:r>
      <w:r w:rsidRPr="006E698E">
        <w:t xml:space="preserve"> згідно зі статтею 107 (1) Договору ЄС</w:t>
      </w:r>
      <w:r w:rsidR="007D5B2E">
        <w:t>,</w:t>
      </w:r>
      <w:r w:rsidRPr="006E698E">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Повідомлення Комісії).</w:t>
      </w:r>
    </w:p>
    <w:p w:rsidR="00295C72" w:rsidRPr="006E698E" w:rsidRDefault="00295C72" w:rsidP="00295C72">
      <w:pPr>
        <w:ind w:left="567"/>
        <w:contextualSpacing/>
        <w:jc w:val="both"/>
        <w:rPr>
          <w:bCs/>
        </w:rPr>
      </w:pPr>
      <w:r w:rsidRPr="006E698E">
        <w:rPr>
          <w:bCs/>
        </w:rPr>
        <w:t xml:space="preserve"> </w:t>
      </w:r>
    </w:p>
    <w:bookmarkEnd w:id="6"/>
    <w:p w:rsidR="00295C72" w:rsidRPr="006E698E" w:rsidRDefault="00295C72" w:rsidP="00295C72">
      <w:pPr>
        <w:pStyle w:val="rvps2"/>
        <w:numPr>
          <w:ilvl w:val="0"/>
          <w:numId w:val="2"/>
        </w:numPr>
        <w:spacing w:before="0" w:beforeAutospacing="0" w:after="0" w:afterAutospacing="0"/>
        <w:ind w:left="567" w:hanging="567"/>
        <w:jc w:val="both"/>
        <w:rPr>
          <w:bCs/>
          <w:lang w:val="uk-UA"/>
        </w:rPr>
      </w:pPr>
      <w:r w:rsidRPr="006E698E">
        <w:rPr>
          <w:bCs/>
          <w:lang w:val="uk-UA"/>
        </w:rPr>
        <w:t xml:space="preserve">Повідомлена підтримка спрямована </w:t>
      </w:r>
      <w:r w:rsidRPr="006E698E">
        <w:rPr>
          <w:lang w:val="uk-UA" w:eastAsia="uk-UA"/>
        </w:rPr>
        <w:t xml:space="preserve">КП БЦМР «Тролейбусне управління» </w:t>
      </w:r>
      <w:r w:rsidRPr="006E698E">
        <w:rPr>
          <w:bCs/>
          <w:lang w:val="uk-UA" w:eastAsia="uk-UA"/>
        </w:rPr>
        <w:t xml:space="preserve">на здійснення заходів щодо компенсації витрат за ПЗЕІ </w:t>
      </w:r>
      <w:r w:rsidRPr="006E698E">
        <w:rPr>
          <w:bCs/>
          <w:lang w:val="uk-UA"/>
        </w:rPr>
        <w:t xml:space="preserve">для </w:t>
      </w:r>
      <w:r w:rsidRPr="006E698E">
        <w:rPr>
          <w:lang w:val="uk-UA"/>
        </w:rPr>
        <w:t xml:space="preserve">покращення якості надання послуг </w:t>
      </w:r>
      <w:r w:rsidR="00130F4F">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електротранспорту </w:t>
      </w:r>
      <w:r w:rsidR="00130F4F">
        <w:rPr>
          <w:lang w:val="uk-UA" w:eastAsia="uk-UA"/>
        </w:rPr>
        <w:t>в</w:t>
      </w:r>
      <w:r w:rsidR="00130F4F" w:rsidRPr="006E698E">
        <w:rPr>
          <w:lang w:val="uk-UA" w:eastAsia="uk-UA"/>
        </w:rPr>
        <w:t xml:space="preserve"> </w:t>
      </w:r>
      <w:r w:rsidRPr="006E698E">
        <w:rPr>
          <w:lang w:val="uk-UA" w:eastAsia="uk-UA"/>
        </w:rPr>
        <w:t>міських пасажирських перевезеннях</w:t>
      </w:r>
      <w:r w:rsidRPr="006E698E">
        <w:rPr>
          <w:lang w:val="uk-UA"/>
        </w:rPr>
        <w:t>.</w:t>
      </w:r>
    </w:p>
    <w:p w:rsidR="00295C72" w:rsidRPr="006E698E" w:rsidRDefault="00295C72" w:rsidP="00295C72">
      <w:pPr>
        <w:pStyle w:val="rvps2"/>
        <w:spacing w:before="0" w:beforeAutospacing="0" w:after="0" w:afterAutospacing="0"/>
        <w:ind w:left="567"/>
        <w:jc w:val="both"/>
        <w:rPr>
          <w:bCs/>
          <w:lang w:val="uk-UA"/>
        </w:rPr>
      </w:pPr>
    </w:p>
    <w:p w:rsidR="00295C72" w:rsidRPr="006E698E" w:rsidRDefault="00295C72" w:rsidP="00295C72">
      <w:pPr>
        <w:pStyle w:val="rvps2"/>
        <w:numPr>
          <w:ilvl w:val="0"/>
          <w:numId w:val="2"/>
        </w:numPr>
        <w:spacing w:before="0" w:beforeAutospacing="0" w:after="0" w:afterAutospacing="0"/>
        <w:ind w:left="567" w:hanging="567"/>
        <w:jc w:val="both"/>
        <w:rPr>
          <w:bCs/>
          <w:lang w:val="uk-UA"/>
        </w:rPr>
      </w:pPr>
      <w:r w:rsidRPr="006E698E">
        <w:rPr>
          <w:bCs/>
          <w:lang w:val="uk-UA"/>
        </w:rPr>
        <w:t>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перевезень пасажирів у місті Біла Церква.</w:t>
      </w:r>
    </w:p>
    <w:p w:rsidR="00295C72" w:rsidRPr="006E698E" w:rsidRDefault="00295C72" w:rsidP="00295C72">
      <w:pPr>
        <w:pStyle w:val="rvps2"/>
        <w:spacing w:before="0" w:beforeAutospacing="0" w:after="0" w:afterAutospacing="0"/>
        <w:jc w:val="both"/>
        <w:rPr>
          <w:bCs/>
          <w:lang w:val="uk-UA"/>
        </w:rPr>
      </w:pPr>
    </w:p>
    <w:p w:rsidR="00295C72" w:rsidRPr="006E698E" w:rsidRDefault="00295C72" w:rsidP="00295C72">
      <w:pPr>
        <w:pStyle w:val="rvps2"/>
        <w:numPr>
          <w:ilvl w:val="0"/>
          <w:numId w:val="2"/>
        </w:numPr>
        <w:spacing w:before="0" w:beforeAutospacing="0" w:after="0" w:afterAutospacing="0"/>
        <w:ind w:left="567" w:hanging="567"/>
        <w:jc w:val="both"/>
        <w:rPr>
          <w:bCs/>
          <w:lang w:val="uk-UA"/>
        </w:rPr>
      </w:pPr>
      <w:r w:rsidRPr="006E698E">
        <w:rPr>
          <w:lang w:val="uk-UA" w:eastAsia="uk-UA"/>
        </w:rPr>
        <w:t xml:space="preserve">КП БЦМР «Тролейбусне управління» </w:t>
      </w:r>
      <w:r w:rsidRPr="006E698E">
        <w:rPr>
          <w:lang w:val="uk-UA"/>
        </w:rPr>
        <w:t xml:space="preserve">за рахунок державної підтримки </w:t>
      </w:r>
      <w:r w:rsidRPr="006E698E">
        <w:rPr>
          <w:bCs/>
          <w:lang w:val="uk-UA"/>
        </w:rPr>
        <w:t xml:space="preserve">у формі </w:t>
      </w:r>
      <w:r w:rsidRPr="006E698E">
        <w:rPr>
          <w:lang w:val="uk-UA" w:eastAsia="uk-UA"/>
        </w:rPr>
        <w:t>субсидій та поточних трансфертів (</w:t>
      </w:r>
      <w:r w:rsidRPr="006E698E">
        <w:rPr>
          <w:rFonts w:eastAsiaTheme="minorHAnsi"/>
          <w:lang w:val="uk-UA" w:eastAsia="en-US"/>
        </w:rPr>
        <w:t xml:space="preserve">відповідно до Програми 1 </w:t>
      </w:r>
      <w:r w:rsidR="00E5191B">
        <w:rPr>
          <w:rFonts w:eastAsiaTheme="minorHAnsi"/>
          <w:lang w:val="uk-UA" w:eastAsia="en-US"/>
        </w:rPr>
        <w:t>і</w:t>
      </w:r>
      <w:r w:rsidR="00E5191B" w:rsidRPr="006E698E">
        <w:rPr>
          <w:rFonts w:eastAsiaTheme="minorHAnsi"/>
          <w:lang w:val="uk-UA" w:eastAsia="en-US"/>
        </w:rPr>
        <w:t xml:space="preserve"> </w:t>
      </w:r>
      <w:r w:rsidR="0079254C" w:rsidRPr="006E698E">
        <w:rPr>
          <w:rFonts w:eastAsiaTheme="minorHAnsi"/>
          <w:lang w:val="uk-UA"/>
        </w:rPr>
        <w:t>Програми 2</w:t>
      </w:r>
      <w:r w:rsidRPr="006E698E">
        <w:rPr>
          <w:rFonts w:eastAsiaTheme="minorHAnsi"/>
          <w:lang w:val="uk-UA" w:eastAsia="en-US"/>
        </w:rPr>
        <w:t>)</w:t>
      </w:r>
      <w:r w:rsidRPr="006E698E">
        <w:rPr>
          <w:lang w:val="uk-UA" w:eastAsia="uk-UA"/>
        </w:rPr>
        <w:t xml:space="preserve"> та капітальних трансфертів (в</w:t>
      </w:r>
      <w:r w:rsidRPr="006E698E">
        <w:rPr>
          <w:rFonts w:eastAsiaTheme="minorHAnsi"/>
          <w:lang w:val="uk-UA" w:eastAsia="en-US"/>
        </w:rPr>
        <w:t xml:space="preserve">ідповідно до Програми </w:t>
      </w:r>
      <w:r w:rsidR="0079254C" w:rsidRPr="006E698E">
        <w:rPr>
          <w:rFonts w:eastAsiaTheme="minorHAnsi"/>
          <w:lang w:val="uk-UA" w:eastAsia="en-US"/>
        </w:rPr>
        <w:t>3</w:t>
      </w:r>
      <w:r w:rsidRPr="006E698E">
        <w:rPr>
          <w:rFonts w:eastAsiaTheme="minorHAnsi"/>
          <w:lang w:val="uk-UA" w:eastAsia="en-US"/>
        </w:rPr>
        <w:t xml:space="preserve">) </w:t>
      </w:r>
      <w:r w:rsidRPr="006E698E">
        <w:rPr>
          <w:lang w:val="uk-UA"/>
        </w:rPr>
        <w:t>набуває переваг, що недоступні іншим суб’єктам господарювання у звичайних ринкових умовах.</w:t>
      </w:r>
    </w:p>
    <w:p w:rsidR="00295C72" w:rsidRPr="006E698E" w:rsidRDefault="00295C72" w:rsidP="00295C72">
      <w:pPr>
        <w:pStyle w:val="rvps2"/>
        <w:spacing w:before="0" w:beforeAutospacing="0" w:after="0" w:afterAutospacing="0"/>
        <w:jc w:val="both"/>
        <w:rPr>
          <w:bCs/>
          <w:lang w:val="uk-UA"/>
        </w:rPr>
      </w:pPr>
    </w:p>
    <w:p w:rsidR="00295C72" w:rsidRPr="006E698E" w:rsidRDefault="00295C72" w:rsidP="00295C72">
      <w:pPr>
        <w:pStyle w:val="rvps2"/>
        <w:numPr>
          <w:ilvl w:val="0"/>
          <w:numId w:val="2"/>
        </w:numPr>
        <w:spacing w:before="0" w:beforeAutospacing="0" w:after="0" w:afterAutospacing="0"/>
        <w:ind w:left="567" w:hanging="567"/>
        <w:jc w:val="both"/>
        <w:rPr>
          <w:bCs/>
          <w:lang w:val="uk-UA"/>
        </w:rPr>
      </w:pPr>
      <w:r w:rsidRPr="006E698E">
        <w:rPr>
          <w:bCs/>
          <w:lang w:val="uk-UA"/>
        </w:rPr>
        <w:t xml:space="preserve">Отже, державна підтримка </w:t>
      </w:r>
      <w:r w:rsidRPr="006E698E">
        <w:rPr>
          <w:lang w:val="uk-UA" w:eastAsia="uk-UA"/>
        </w:rPr>
        <w:t xml:space="preserve">КП БЦМР «Тролейбусне управління» </w:t>
      </w:r>
      <w:r w:rsidRPr="006E698E">
        <w:rPr>
          <w:lang w:val="uk-UA"/>
        </w:rPr>
        <w:t xml:space="preserve">у формі </w:t>
      </w:r>
      <w:r w:rsidRPr="006E698E">
        <w:rPr>
          <w:lang w:val="uk-UA" w:eastAsia="uk-UA"/>
        </w:rPr>
        <w:t>субсидій та поточних трансфертів (</w:t>
      </w:r>
      <w:r w:rsidRPr="006E698E">
        <w:rPr>
          <w:rFonts w:eastAsiaTheme="minorHAnsi"/>
          <w:lang w:val="uk-UA" w:eastAsia="en-US"/>
        </w:rPr>
        <w:t xml:space="preserve">відповідно до Програми 1 </w:t>
      </w:r>
      <w:r w:rsidR="00E5191B">
        <w:rPr>
          <w:rFonts w:eastAsiaTheme="minorHAnsi"/>
          <w:lang w:val="uk-UA" w:eastAsia="en-US"/>
        </w:rPr>
        <w:t>і</w:t>
      </w:r>
      <w:r w:rsidR="00E5191B" w:rsidRPr="006E698E">
        <w:rPr>
          <w:rFonts w:eastAsiaTheme="minorHAnsi"/>
          <w:lang w:val="uk-UA" w:eastAsia="en-US"/>
        </w:rPr>
        <w:t xml:space="preserve"> </w:t>
      </w:r>
      <w:r w:rsidR="0079254C" w:rsidRPr="006E698E">
        <w:rPr>
          <w:rFonts w:eastAsiaTheme="minorHAnsi"/>
          <w:lang w:val="uk-UA"/>
        </w:rPr>
        <w:t>Програми 2</w:t>
      </w:r>
      <w:r w:rsidRPr="006E698E">
        <w:rPr>
          <w:rFonts w:eastAsiaTheme="minorHAnsi"/>
          <w:lang w:val="uk-UA" w:eastAsia="en-US"/>
        </w:rPr>
        <w:t>)</w:t>
      </w:r>
      <w:r w:rsidRPr="006E698E">
        <w:rPr>
          <w:lang w:val="uk-UA" w:eastAsia="uk-UA"/>
        </w:rPr>
        <w:t xml:space="preserve"> та капітальних трансфертів (в</w:t>
      </w:r>
      <w:r w:rsidRPr="006E698E">
        <w:rPr>
          <w:rFonts w:eastAsiaTheme="minorHAnsi"/>
          <w:lang w:val="uk-UA" w:eastAsia="en-US"/>
        </w:rPr>
        <w:t xml:space="preserve">ідповідно до Програми </w:t>
      </w:r>
      <w:r w:rsidR="0079254C" w:rsidRPr="006E698E">
        <w:rPr>
          <w:rFonts w:eastAsiaTheme="minorHAnsi"/>
          <w:lang w:val="uk-UA" w:eastAsia="en-US"/>
        </w:rPr>
        <w:t>3</w:t>
      </w:r>
      <w:r w:rsidRPr="006E698E">
        <w:rPr>
          <w:rFonts w:eastAsiaTheme="minorHAnsi"/>
          <w:lang w:val="uk-UA" w:eastAsia="en-US"/>
        </w:rPr>
        <w:t xml:space="preserve">) для </w:t>
      </w:r>
      <w:r w:rsidRPr="006E698E">
        <w:rPr>
          <w:lang w:val="uk-UA"/>
        </w:rPr>
        <w:t xml:space="preserve">покращення якості надання послуг </w:t>
      </w:r>
      <w:r w:rsidR="00E5191B">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електротранспорту </w:t>
      </w:r>
      <w:r w:rsidR="00E5191B">
        <w:rPr>
          <w:lang w:val="uk-UA" w:eastAsia="uk-UA"/>
        </w:rPr>
        <w:t>в</w:t>
      </w:r>
      <w:r w:rsidR="00E5191B" w:rsidRPr="006E698E">
        <w:rPr>
          <w:lang w:val="uk-UA" w:eastAsia="uk-UA"/>
        </w:rPr>
        <w:t xml:space="preserve"> </w:t>
      </w:r>
      <w:r w:rsidRPr="006E698E">
        <w:rPr>
          <w:lang w:val="uk-UA" w:eastAsia="uk-UA"/>
        </w:rPr>
        <w:t>міських пасажирських перевезеннях</w:t>
      </w:r>
      <w:r w:rsidRPr="006E698E">
        <w:rPr>
          <w:lang w:val="uk-UA"/>
        </w:rPr>
        <w:t xml:space="preserve"> </w:t>
      </w:r>
      <w:r w:rsidRPr="006E698E">
        <w:rPr>
          <w:u w:val="single"/>
          <w:lang w:val="uk-UA"/>
        </w:rPr>
        <w:t xml:space="preserve">створює для нього перевагу </w:t>
      </w:r>
      <w:r w:rsidRPr="006E698E">
        <w:rPr>
          <w:u w:val="single"/>
          <w:lang w:val="uk-UA"/>
        </w:rPr>
        <w:lastRenderedPageBreak/>
        <w:t xml:space="preserve">серед інших суб’єктів господарювання, </w:t>
      </w:r>
      <w:r w:rsidRPr="006E698E">
        <w:rPr>
          <w:bCs/>
          <w:u w:val="single"/>
          <w:lang w:val="uk-UA"/>
        </w:rPr>
        <w:t xml:space="preserve">що працюють на ринку надання послуг </w:t>
      </w:r>
      <w:r w:rsidR="00E5191B">
        <w:rPr>
          <w:bCs/>
          <w:u w:val="single"/>
          <w:lang w:val="uk-UA"/>
        </w:rPr>
        <w:t>і</w:t>
      </w:r>
      <w:r w:rsidRPr="006E698E">
        <w:rPr>
          <w:bCs/>
          <w:u w:val="single"/>
          <w:lang w:val="uk-UA"/>
        </w:rPr>
        <w:t>з перевезень пасажирів у місті Біла Церква.</w:t>
      </w:r>
    </w:p>
    <w:p w:rsidR="00295C72" w:rsidRPr="006E698E" w:rsidRDefault="00295C72" w:rsidP="00295C72">
      <w:pPr>
        <w:pStyle w:val="a3"/>
        <w:rPr>
          <w:bCs/>
        </w:rPr>
      </w:pPr>
    </w:p>
    <w:p w:rsidR="00295C72" w:rsidRPr="006E698E" w:rsidRDefault="00295C72" w:rsidP="00295C72">
      <w:pPr>
        <w:pStyle w:val="rvps2"/>
        <w:numPr>
          <w:ilvl w:val="2"/>
          <w:numId w:val="1"/>
        </w:numPr>
        <w:spacing w:before="0" w:beforeAutospacing="0" w:after="0" w:afterAutospacing="0"/>
        <w:ind w:left="567" w:hanging="567"/>
        <w:jc w:val="both"/>
        <w:rPr>
          <w:lang w:val="uk-UA"/>
        </w:rPr>
      </w:pPr>
      <w:r w:rsidRPr="006E698E">
        <w:rPr>
          <w:b/>
          <w:lang w:val="uk-UA"/>
        </w:rPr>
        <w:t>Спотворення або загроза спотворення економічної конкуренції</w:t>
      </w:r>
    </w:p>
    <w:p w:rsidR="00295C72" w:rsidRPr="006E698E" w:rsidRDefault="00295C72" w:rsidP="00295C72">
      <w:pPr>
        <w:pStyle w:val="a3"/>
      </w:pPr>
    </w:p>
    <w:p w:rsidR="00295C72" w:rsidRPr="006E698E" w:rsidRDefault="00295C72" w:rsidP="00295C72">
      <w:pPr>
        <w:numPr>
          <w:ilvl w:val="0"/>
          <w:numId w:val="2"/>
        </w:numPr>
        <w:ind w:left="567" w:hanging="708"/>
        <w:contextualSpacing/>
        <w:jc w:val="both"/>
        <w:rPr>
          <w:bCs/>
          <w:color w:val="000000" w:themeColor="text1"/>
        </w:rPr>
      </w:pPr>
      <w:r w:rsidRPr="006E698E">
        <w:t xml:space="preserve">Ринок перевезення пасажирів є конкурентним. </w:t>
      </w:r>
      <w:r w:rsidRPr="006E698E">
        <w:rPr>
          <w:bCs/>
        </w:rPr>
        <w:t>Згідно з інформацією, що міститься у відкритих джерелах</w:t>
      </w:r>
      <w:r w:rsidRPr="006E698E">
        <w:t>, КП БЦМР «Тролейбусне управління» не є єдиним суб’єктом господарювання, який здійснює діяльність на ринку з перевезень пасажирів.</w:t>
      </w:r>
    </w:p>
    <w:p w:rsidR="00295C72" w:rsidRPr="006E698E" w:rsidRDefault="00295C72" w:rsidP="00295C72">
      <w:pPr>
        <w:ind w:left="567"/>
        <w:contextualSpacing/>
        <w:jc w:val="both"/>
        <w:rPr>
          <w:bCs/>
          <w:color w:val="000000" w:themeColor="text1"/>
        </w:rPr>
      </w:pPr>
    </w:p>
    <w:p w:rsidR="00295C72" w:rsidRPr="006E698E" w:rsidRDefault="00295C72" w:rsidP="0010609F">
      <w:pPr>
        <w:numPr>
          <w:ilvl w:val="0"/>
          <w:numId w:val="2"/>
        </w:numPr>
        <w:ind w:left="567" w:hanging="709"/>
        <w:contextualSpacing/>
        <w:jc w:val="both"/>
        <w:rPr>
          <w:bCs/>
          <w:color w:val="000000" w:themeColor="text1"/>
        </w:rPr>
      </w:pPr>
      <w:r w:rsidRPr="006E698E">
        <w:t>Враховуючи, що на ринку перевезення пасажирів у місті Біла Церква</w:t>
      </w:r>
      <w:r w:rsidR="00E5191B">
        <w:t>,</w:t>
      </w:r>
      <w:r w:rsidRPr="006E698E">
        <w:t xml:space="preserve"> крім Підприємства, здійснюють свою господарську діяльність й інші суб’єкти господарювання, повідомлена державна підтримка надає КП БЦМР «Тролейбусне управління»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295C72" w:rsidRPr="006E698E" w:rsidRDefault="00295C72" w:rsidP="00295C72">
      <w:pPr>
        <w:contextualSpacing/>
        <w:jc w:val="both"/>
        <w:rPr>
          <w:bCs/>
          <w:color w:val="000000" w:themeColor="text1"/>
        </w:rPr>
      </w:pPr>
    </w:p>
    <w:p w:rsidR="00295C72" w:rsidRPr="006E698E" w:rsidRDefault="00295C72" w:rsidP="00295C72">
      <w:pPr>
        <w:numPr>
          <w:ilvl w:val="0"/>
          <w:numId w:val="2"/>
        </w:numPr>
        <w:ind w:left="567" w:hanging="567"/>
        <w:jc w:val="both"/>
        <w:rPr>
          <w:u w:val="single"/>
          <w:lang w:eastAsia="ru-RU"/>
        </w:rPr>
      </w:pPr>
      <w:r w:rsidRPr="006E698E">
        <w:rPr>
          <w:lang w:eastAsia="ru-RU"/>
        </w:rPr>
        <w:t xml:space="preserve">Отже, надання державної підтримки </w:t>
      </w:r>
      <w:r w:rsidRPr="006E698E">
        <w:t xml:space="preserve">КП БЦМР «Тролейбусне управління» у формі субсидій та поточних трансфертів (відповідно до Програми 1 </w:t>
      </w:r>
      <w:r w:rsidR="00E5191B">
        <w:t>і</w:t>
      </w:r>
      <w:r w:rsidR="00E5191B" w:rsidRPr="006E698E">
        <w:t xml:space="preserve"> </w:t>
      </w:r>
      <w:r w:rsidR="0079254C" w:rsidRPr="006E698E">
        <w:rPr>
          <w:rFonts w:eastAsiaTheme="minorHAnsi"/>
        </w:rPr>
        <w:t>Програми 2</w:t>
      </w:r>
      <w:r w:rsidRPr="006E698E">
        <w:t xml:space="preserve">) та капітальних трансфертів (відповідно до </w:t>
      </w:r>
      <w:r w:rsidR="0079254C" w:rsidRPr="006E698E">
        <w:t>Програми 3</w:t>
      </w:r>
      <w:r w:rsidRPr="006E698E">
        <w:t xml:space="preserve">) для покращення якості надання послуг </w:t>
      </w:r>
      <w:r w:rsidR="00E5191B">
        <w:t>і</w:t>
      </w:r>
      <w:r w:rsidRPr="006E698E">
        <w:t xml:space="preserve">з перевезення пасажирів міським електричним транспортом та збільшення питомої ваги електротранспорту </w:t>
      </w:r>
      <w:r w:rsidR="00E5191B">
        <w:t>в</w:t>
      </w:r>
      <w:r w:rsidR="00E5191B" w:rsidRPr="006E698E">
        <w:t xml:space="preserve"> </w:t>
      </w:r>
      <w:r w:rsidRPr="006E698E">
        <w:t>міських пасажирських перевезеннях</w:t>
      </w:r>
      <w:r w:rsidRPr="006E698E">
        <w:rPr>
          <w:lang w:eastAsia="ru-RU"/>
        </w:rPr>
        <w:t xml:space="preserve"> </w:t>
      </w:r>
      <w:r w:rsidRPr="006E698E">
        <w:rPr>
          <w:u w:val="single"/>
          <w:lang w:eastAsia="ru-RU"/>
        </w:rPr>
        <w:t>спотворює економічну конкуренцію.</w:t>
      </w:r>
    </w:p>
    <w:p w:rsidR="00B17D70" w:rsidRPr="006E698E" w:rsidRDefault="00B17D70" w:rsidP="00B17D70">
      <w:pPr>
        <w:ind w:left="567"/>
        <w:jc w:val="both"/>
        <w:rPr>
          <w:u w:val="single"/>
          <w:lang w:eastAsia="ru-RU"/>
        </w:rPr>
      </w:pPr>
    </w:p>
    <w:p w:rsidR="00295C72" w:rsidRPr="006E698E" w:rsidRDefault="00295C72" w:rsidP="00295C72">
      <w:pPr>
        <w:pStyle w:val="rvps2"/>
        <w:numPr>
          <w:ilvl w:val="2"/>
          <w:numId w:val="1"/>
        </w:numPr>
        <w:spacing w:before="0" w:beforeAutospacing="0" w:after="0" w:afterAutospacing="0"/>
        <w:ind w:left="567" w:hanging="567"/>
        <w:jc w:val="both"/>
        <w:rPr>
          <w:lang w:val="uk-UA"/>
        </w:rPr>
      </w:pPr>
      <w:r w:rsidRPr="006E698E">
        <w:rPr>
          <w:b/>
          <w:lang w:val="uk-UA" w:eastAsia="uk-UA"/>
        </w:rPr>
        <w:t xml:space="preserve"> Віднесення повідомленої державної підтримки до державної допомоги</w:t>
      </w:r>
    </w:p>
    <w:p w:rsidR="00295C72" w:rsidRPr="006E698E" w:rsidRDefault="00295C72" w:rsidP="00295C72">
      <w:pPr>
        <w:pStyle w:val="rvps2"/>
        <w:spacing w:before="0" w:beforeAutospacing="0" w:after="0" w:afterAutospacing="0"/>
        <w:ind w:left="567"/>
        <w:jc w:val="both"/>
        <w:rPr>
          <w:lang w:val="uk-UA"/>
        </w:rPr>
      </w:pPr>
    </w:p>
    <w:p w:rsidR="00295C72" w:rsidRPr="006E698E" w:rsidRDefault="00295C72" w:rsidP="00295C72">
      <w:pPr>
        <w:pStyle w:val="rvps2"/>
        <w:numPr>
          <w:ilvl w:val="0"/>
          <w:numId w:val="2"/>
        </w:numPr>
        <w:spacing w:before="0" w:beforeAutospacing="0" w:after="0" w:afterAutospacing="0"/>
        <w:ind w:left="567" w:hanging="567"/>
        <w:jc w:val="both"/>
        <w:rPr>
          <w:u w:val="single"/>
          <w:lang w:val="uk-UA"/>
        </w:rPr>
      </w:pPr>
      <w:r w:rsidRPr="006E698E">
        <w:rPr>
          <w:lang w:val="uk-UA"/>
        </w:rPr>
        <w:t xml:space="preserve">Повідомлена державна підтримка, яка надається </w:t>
      </w:r>
      <w:r w:rsidRPr="006E698E">
        <w:rPr>
          <w:lang w:val="uk-UA" w:eastAsia="uk-UA"/>
        </w:rPr>
        <w:t xml:space="preserve">КП БЦМР «Тролейбусне управління» </w:t>
      </w:r>
      <w:r w:rsidRPr="006E698E">
        <w:rPr>
          <w:lang w:val="uk-UA"/>
        </w:rPr>
        <w:t xml:space="preserve">у формі </w:t>
      </w:r>
      <w:r w:rsidRPr="006E698E">
        <w:rPr>
          <w:lang w:val="uk-UA" w:eastAsia="uk-UA"/>
        </w:rPr>
        <w:t>субсидій та поточних трансфертів (</w:t>
      </w:r>
      <w:r w:rsidRPr="006E698E">
        <w:rPr>
          <w:rFonts w:eastAsiaTheme="minorHAnsi"/>
          <w:lang w:val="uk-UA" w:eastAsia="en-US"/>
        </w:rPr>
        <w:t xml:space="preserve">відповідно до Програми 1 </w:t>
      </w:r>
      <w:r w:rsidR="007775F8">
        <w:rPr>
          <w:rFonts w:eastAsiaTheme="minorHAnsi"/>
          <w:lang w:val="uk-UA" w:eastAsia="en-US"/>
        </w:rPr>
        <w:t>і</w:t>
      </w:r>
      <w:r w:rsidR="007775F8" w:rsidRPr="006E698E">
        <w:rPr>
          <w:rFonts w:eastAsiaTheme="minorHAnsi"/>
          <w:lang w:val="uk-UA" w:eastAsia="en-US"/>
        </w:rPr>
        <w:t xml:space="preserve"> </w:t>
      </w:r>
      <w:r w:rsidR="0079254C" w:rsidRPr="006E698E">
        <w:rPr>
          <w:rFonts w:eastAsiaTheme="minorHAnsi"/>
          <w:lang w:val="uk-UA"/>
        </w:rPr>
        <w:t>Програми 2</w:t>
      </w:r>
      <w:r w:rsidRPr="006E698E">
        <w:rPr>
          <w:rFonts w:eastAsiaTheme="minorHAnsi"/>
          <w:lang w:val="uk-UA" w:eastAsia="en-US"/>
        </w:rPr>
        <w:t>)</w:t>
      </w:r>
      <w:r w:rsidRPr="006E698E">
        <w:rPr>
          <w:lang w:val="uk-UA" w:eastAsia="uk-UA"/>
        </w:rPr>
        <w:t xml:space="preserve"> та капітальних трансфертів (в</w:t>
      </w:r>
      <w:r w:rsidRPr="006E698E">
        <w:rPr>
          <w:rFonts w:eastAsiaTheme="minorHAnsi"/>
          <w:lang w:val="uk-UA" w:eastAsia="en-US"/>
        </w:rPr>
        <w:t xml:space="preserve">ідповідно до Програми </w:t>
      </w:r>
      <w:r w:rsidR="0079254C" w:rsidRPr="006E698E">
        <w:rPr>
          <w:rFonts w:eastAsiaTheme="minorHAnsi"/>
          <w:lang w:val="uk-UA" w:eastAsia="en-US"/>
        </w:rPr>
        <w:t>3</w:t>
      </w:r>
      <w:r w:rsidRPr="006E698E">
        <w:rPr>
          <w:rFonts w:eastAsiaTheme="minorHAnsi"/>
          <w:lang w:val="uk-UA" w:eastAsia="en-US"/>
        </w:rPr>
        <w:t>)</w:t>
      </w:r>
      <w:r w:rsidRPr="006E698E">
        <w:rPr>
          <w:lang w:val="uk-UA" w:eastAsia="uk-UA"/>
        </w:rPr>
        <w:t xml:space="preserve"> для </w:t>
      </w:r>
      <w:r w:rsidRPr="006E698E">
        <w:rPr>
          <w:lang w:val="uk-UA"/>
        </w:rPr>
        <w:t xml:space="preserve">покращення якості надання послуг </w:t>
      </w:r>
      <w:r w:rsidR="007775F8">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електротранспорту </w:t>
      </w:r>
      <w:r w:rsidR="007775F8">
        <w:rPr>
          <w:lang w:val="uk-UA" w:eastAsia="uk-UA"/>
        </w:rPr>
        <w:t>в</w:t>
      </w:r>
      <w:r w:rsidR="007775F8" w:rsidRPr="006E698E">
        <w:rPr>
          <w:lang w:val="uk-UA" w:eastAsia="uk-UA"/>
        </w:rPr>
        <w:t xml:space="preserve"> </w:t>
      </w:r>
      <w:r w:rsidRPr="006E698E">
        <w:rPr>
          <w:lang w:val="uk-UA" w:eastAsia="uk-UA"/>
        </w:rPr>
        <w:t>міських пасажирських перевезеннях</w:t>
      </w:r>
      <w:r w:rsidRPr="006E698E">
        <w:rPr>
          <w:rFonts w:eastAsiaTheme="minorHAnsi"/>
          <w:lang w:val="uk-UA"/>
        </w:rPr>
        <w:t xml:space="preserve">, </w:t>
      </w:r>
      <w:r w:rsidRPr="006E698E">
        <w:rPr>
          <w:color w:val="000000" w:themeColor="text1"/>
          <w:lang w:val="uk-UA"/>
        </w:rPr>
        <w:t xml:space="preserve">створює </w:t>
      </w:r>
      <w:r w:rsidRPr="006E698E">
        <w:rPr>
          <w:bCs/>
          <w:color w:val="000000" w:themeColor="text1"/>
          <w:lang w:val="uk-UA"/>
        </w:rPr>
        <w:t>переваги для Підприємства</w:t>
      </w:r>
      <w:r w:rsidRPr="006E698E">
        <w:rPr>
          <w:color w:val="000000" w:themeColor="text1"/>
          <w:lang w:val="uk-UA"/>
        </w:rPr>
        <w:t xml:space="preserve">, що недоступні іншим суб’єктам господарювання у звичайних ринкових умовах, та </w:t>
      </w:r>
      <w:r w:rsidRPr="006E698E">
        <w:rPr>
          <w:bCs/>
          <w:color w:val="000000" w:themeColor="text1"/>
          <w:lang w:val="uk-UA"/>
        </w:rPr>
        <w:t xml:space="preserve">спотворює економічну конкуренцію, </w:t>
      </w:r>
      <w:r w:rsidRPr="006E698E">
        <w:rPr>
          <w:color w:val="000000" w:themeColor="text1"/>
          <w:lang w:val="uk-UA"/>
        </w:rPr>
        <w:t xml:space="preserve">тому, як наслідок, </w:t>
      </w:r>
      <w:r w:rsidRPr="006E698E">
        <w:rPr>
          <w:u w:val="single"/>
          <w:lang w:val="uk-UA" w:eastAsia="uk-UA"/>
        </w:rPr>
        <w:t xml:space="preserve">є державною допомогою </w:t>
      </w:r>
      <w:r w:rsidR="007775F8">
        <w:rPr>
          <w:u w:val="single"/>
          <w:lang w:val="uk-UA" w:eastAsia="uk-UA"/>
        </w:rPr>
        <w:t>в</w:t>
      </w:r>
      <w:r w:rsidR="007775F8" w:rsidRPr="006E698E">
        <w:rPr>
          <w:u w:val="single"/>
          <w:lang w:val="uk-UA" w:eastAsia="uk-UA"/>
        </w:rPr>
        <w:t xml:space="preserve"> </w:t>
      </w:r>
      <w:r w:rsidRPr="006E698E">
        <w:rPr>
          <w:u w:val="single"/>
          <w:lang w:val="uk-UA" w:eastAsia="uk-UA"/>
        </w:rPr>
        <w:t>розумінні Закону.</w:t>
      </w:r>
    </w:p>
    <w:p w:rsidR="00295C72" w:rsidRPr="006E698E" w:rsidRDefault="00295C72" w:rsidP="00295C72">
      <w:pPr>
        <w:pStyle w:val="rvps2"/>
        <w:spacing w:before="0" w:beforeAutospacing="0" w:after="0" w:afterAutospacing="0"/>
        <w:ind w:left="567"/>
        <w:jc w:val="both"/>
        <w:rPr>
          <w:lang w:val="uk-UA"/>
        </w:rPr>
      </w:pPr>
    </w:p>
    <w:p w:rsidR="00295C72" w:rsidRPr="006E698E" w:rsidRDefault="00295C72" w:rsidP="00295C72">
      <w:pPr>
        <w:pStyle w:val="rvps2"/>
        <w:numPr>
          <w:ilvl w:val="1"/>
          <w:numId w:val="1"/>
        </w:numPr>
        <w:spacing w:before="0" w:beforeAutospacing="0" w:after="0" w:afterAutospacing="0"/>
        <w:ind w:left="567" w:hanging="567"/>
        <w:jc w:val="both"/>
        <w:rPr>
          <w:b/>
          <w:lang w:val="uk-UA"/>
        </w:rPr>
      </w:pPr>
      <w:r w:rsidRPr="006E698E">
        <w:rPr>
          <w:b/>
          <w:lang w:val="uk-UA"/>
        </w:rPr>
        <w:t xml:space="preserve">Оцінка допустимості державної допомоги </w:t>
      </w:r>
    </w:p>
    <w:p w:rsidR="00295C72" w:rsidRPr="006E698E" w:rsidRDefault="00295C72" w:rsidP="00295C72">
      <w:pPr>
        <w:pStyle w:val="rvps2"/>
        <w:spacing w:before="0" w:beforeAutospacing="0" w:after="0" w:afterAutospacing="0"/>
        <w:jc w:val="both"/>
        <w:rPr>
          <w:b/>
          <w:lang w:val="uk-UA"/>
        </w:rPr>
      </w:pPr>
    </w:p>
    <w:p w:rsidR="00295C72" w:rsidRPr="006E698E" w:rsidRDefault="00295C72" w:rsidP="00295C72">
      <w:pPr>
        <w:numPr>
          <w:ilvl w:val="0"/>
          <w:numId w:val="2"/>
        </w:numPr>
        <w:ind w:left="567" w:hanging="567"/>
        <w:contextualSpacing/>
        <w:jc w:val="both"/>
        <w:rPr>
          <w:bCs/>
        </w:rPr>
      </w:pPr>
      <w:r w:rsidRPr="006E698E">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295C72" w:rsidRPr="006E698E" w:rsidRDefault="00295C72" w:rsidP="00295C72">
      <w:pPr>
        <w:ind w:left="567" w:hanging="567"/>
        <w:contextualSpacing/>
        <w:jc w:val="both"/>
        <w:rPr>
          <w:bCs/>
        </w:rPr>
      </w:pPr>
    </w:p>
    <w:p w:rsidR="00295C72" w:rsidRPr="006E698E" w:rsidRDefault="00295C72" w:rsidP="00295C72">
      <w:pPr>
        <w:numPr>
          <w:ilvl w:val="0"/>
          <w:numId w:val="2"/>
        </w:numPr>
        <w:ind w:left="567" w:hanging="567"/>
        <w:contextualSpacing/>
        <w:jc w:val="both"/>
        <w:rPr>
          <w:bCs/>
        </w:rPr>
      </w:pPr>
      <w:r w:rsidRPr="006E698E">
        <w:rPr>
          <w:bCs/>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295C72" w:rsidRPr="006E698E" w:rsidRDefault="00295C72" w:rsidP="00295C72">
      <w:pPr>
        <w:contextualSpacing/>
        <w:jc w:val="both"/>
        <w:rPr>
          <w:bCs/>
        </w:rPr>
      </w:pPr>
    </w:p>
    <w:p w:rsidR="00295C72" w:rsidRDefault="00295C72" w:rsidP="00295C72">
      <w:pPr>
        <w:numPr>
          <w:ilvl w:val="0"/>
          <w:numId w:val="2"/>
        </w:numPr>
        <w:ind w:left="567" w:hanging="567"/>
        <w:contextualSpacing/>
        <w:jc w:val="both"/>
        <w:rPr>
          <w:bCs/>
        </w:rPr>
      </w:pPr>
      <w:r w:rsidRPr="006E698E">
        <w:rPr>
          <w:bCs/>
        </w:rPr>
        <w:lastRenderedPageBreak/>
        <w:t xml:space="preserve">Якщо критеріїв у справі Altmark не дотримано, для проведення відповідної оцінки </w:t>
      </w:r>
      <w:r w:rsidRPr="006E698E">
        <w:rPr>
          <w:bCs/>
          <w:iCs/>
        </w:rPr>
        <w:t>допустимості державної допомоги</w:t>
      </w:r>
      <w:r w:rsidRPr="006E698E">
        <w:rPr>
          <w:bCs/>
        </w:rPr>
        <w:t xml:space="preserve"> </w:t>
      </w:r>
      <w:r w:rsidRPr="006E698E">
        <w:rPr>
          <w:bCs/>
          <w:iCs/>
        </w:rPr>
        <w:t xml:space="preserve">під час надання послуг громадського транспорту для оцінки використовується </w:t>
      </w:r>
      <w:r w:rsidRPr="006E698E">
        <w:rPr>
          <w:bCs/>
        </w:rPr>
        <w:t>Регламент.</w:t>
      </w:r>
    </w:p>
    <w:p w:rsidR="0078634A" w:rsidRPr="006E698E" w:rsidRDefault="0078634A" w:rsidP="0078634A">
      <w:pPr>
        <w:ind w:left="567"/>
        <w:contextualSpacing/>
        <w:jc w:val="both"/>
        <w:rPr>
          <w:bCs/>
        </w:rPr>
      </w:pPr>
    </w:p>
    <w:p w:rsidR="00295C72" w:rsidRPr="006E698E" w:rsidRDefault="00295C72" w:rsidP="00295C72">
      <w:pPr>
        <w:numPr>
          <w:ilvl w:val="0"/>
          <w:numId w:val="2"/>
        </w:numPr>
        <w:ind w:left="567" w:hanging="567"/>
        <w:contextualSpacing/>
        <w:jc w:val="both"/>
        <w:rPr>
          <w:bCs/>
        </w:rPr>
      </w:pPr>
      <w:r w:rsidRPr="006E698E">
        <w:rPr>
          <w:b/>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295C72" w:rsidRPr="006E698E" w:rsidRDefault="00295C72" w:rsidP="00295C72">
      <w:pPr>
        <w:pStyle w:val="rvps2"/>
        <w:spacing w:before="0" w:beforeAutospacing="0" w:after="0" w:afterAutospacing="0"/>
        <w:jc w:val="both"/>
        <w:rPr>
          <w:lang w:val="uk-UA" w:eastAsia="uk-UA"/>
        </w:rPr>
      </w:pPr>
    </w:p>
    <w:p w:rsidR="00295C72" w:rsidRPr="006E698E" w:rsidRDefault="00295C72" w:rsidP="00295C72">
      <w:pPr>
        <w:numPr>
          <w:ilvl w:val="0"/>
          <w:numId w:val="2"/>
        </w:numPr>
        <w:ind w:left="567" w:hanging="567"/>
        <w:contextualSpacing/>
        <w:jc w:val="both"/>
        <w:rPr>
          <w:bCs/>
          <w:lang w:eastAsia="ru-RU"/>
        </w:rPr>
      </w:pPr>
      <w:r w:rsidRPr="006E698E">
        <w:rPr>
          <w:lang w:eastAsia="ru-RU"/>
        </w:rPr>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rsidR="00295C72" w:rsidRPr="006E698E" w:rsidRDefault="00295C72" w:rsidP="00295C72">
      <w:pPr>
        <w:ind w:left="567" w:hanging="567"/>
        <w:contextualSpacing/>
        <w:jc w:val="both"/>
        <w:rPr>
          <w:bCs/>
          <w:lang w:eastAsia="ru-RU"/>
        </w:rPr>
      </w:pPr>
    </w:p>
    <w:p w:rsidR="00295C72" w:rsidRPr="006E698E" w:rsidRDefault="00295C72" w:rsidP="00295C72">
      <w:pPr>
        <w:numPr>
          <w:ilvl w:val="0"/>
          <w:numId w:val="2"/>
        </w:numPr>
        <w:ind w:left="567" w:hanging="567"/>
        <w:contextualSpacing/>
        <w:jc w:val="both"/>
        <w:rPr>
          <w:bCs/>
          <w:lang w:eastAsia="ru-RU"/>
        </w:rPr>
      </w:pPr>
      <w:r w:rsidRPr="006E698E">
        <w:rPr>
          <w:bCs/>
          <w:lang w:eastAsia="ru-RU"/>
        </w:rPr>
        <w:t>Згідно із статтею 11 Закону України «Про міський електричний транспорт»:</w:t>
      </w:r>
    </w:p>
    <w:p w:rsidR="00295C72" w:rsidRPr="006E698E" w:rsidRDefault="00295C72" w:rsidP="00295C72">
      <w:pPr>
        <w:numPr>
          <w:ilvl w:val="0"/>
          <w:numId w:val="3"/>
        </w:numPr>
        <w:ind w:left="567" w:hanging="567"/>
        <w:jc w:val="both"/>
        <w:rPr>
          <w:lang w:eastAsia="ru-RU"/>
        </w:rPr>
      </w:pPr>
      <w:r w:rsidRPr="006E698E">
        <w:rPr>
          <w:bCs/>
          <w:lang w:eastAsia="ru-RU"/>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6E698E">
        <w:rPr>
          <w:lang w:eastAsia="ru-RU"/>
        </w:rPr>
        <w:t>;</w:t>
      </w:r>
    </w:p>
    <w:p w:rsidR="00295C72" w:rsidRPr="006E698E" w:rsidRDefault="00295C72" w:rsidP="00295C72">
      <w:pPr>
        <w:numPr>
          <w:ilvl w:val="0"/>
          <w:numId w:val="3"/>
        </w:numPr>
        <w:ind w:left="567" w:hanging="567"/>
        <w:jc w:val="both"/>
        <w:rPr>
          <w:lang w:eastAsia="ru-RU"/>
        </w:rPr>
      </w:pPr>
      <w:r w:rsidRPr="006E698E">
        <w:rPr>
          <w:bCs/>
          <w:lang w:eastAsia="ru-RU"/>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6E698E">
        <w:rPr>
          <w:lang w:eastAsia="ru-RU"/>
        </w:rPr>
        <w:t>;</w:t>
      </w:r>
    </w:p>
    <w:p w:rsidR="00295C72" w:rsidRPr="006E698E" w:rsidRDefault="00295C72" w:rsidP="00295C72">
      <w:pPr>
        <w:numPr>
          <w:ilvl w:val="0"/>
          <w:numId w:val="3"/>
        </w:numPr>
        <w:ind w:left="567" w:hanging="567"/>
        <w:jc w:val="both"/>
        <w:rPr>
          <w:lang w:eastAsia="ru-RU"/>
        </w:rPr>
      </w:pPr>
      <w:r w:rsidRPr="006E698E">
        <w:rPr>
          <w:bCs/>
          <w:lang w:eastAsia="ru-RU"/>
        </w:rPr>
        <w:t>типовий договір про організацію надання транспортних послуг затверджується Кабінетом Міністрів України</w:t>
      </w:r>
      <w:r w:rsidRPr="006E698E">
        <w:rPr>
          <w:lang w:eastAsia="ru-RU"/>
        </w:rPr>
        <w:t>;</w:t>
      </w:r>
    </w:p>
    <w:p w:rsidR="00295C72" w:rsidRPr="006E698E" w:rsidRDefault="00295C72" w:rsidP="00295C72">
      <w:pPr>
        <w:numPr>
          <w:ilvl w:val="0"/>
          <w:numId w:val="3"/>
        </w:numPr>
        <w:ind w:left="567" w:hanging="567"/>
        <w:jc w:val="both"/>
        <w:rPr>
          <w:lang w:eastAsia="ru-RU"/>
        </w:rPr>
      </w:pPr>
      <w:r w:rsidRPr="006E698E">
        <w:rPr>
          <w:lang w:eastAsia="ru-RU"/>
        </w:rPr>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295C72" w:rsidRPr="006E698E" w:rsidRDefault="00295C72" w:rsidP="00295C72">
      <w:pPr>
        <w:numPr>
          <w:ilvl w:val="0"/>
          <w:numId w:val="3"/>
        </w:numPr>
        <w:ind w:left="567" w:hanging="567"/>
        <w:jc w:val="both"/>
        <w:rPr>
          <w:lang w:eastAsia="ru-RU"/>
        </w:rPr>
      </w:pPr>
      <w:r w:rsidRPr="006E698E">
        <w:rPr>
          <w:lang w:eastAsia="ru-RU"/>
        </w:rPr>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r w:rsidRPr="006E698E">
        <w:rPr>
          <w:bCs/>
          <w:lang w:eastAsia="ru-RU"/>
        </w:rPr>
        <w:t xml:space="preserve"> </w:t>
      </w:r>
    </w:p>
    <w:p w:rsidR="00295C72" w:rsidRPr="006E698E" w:rsidRDefault="00295C72" w:rsidP="00295C72">
      <w:pPr>
        <w:ind w:left="567"/>
        <w:jc w:val="both"/>
        <w:rPr>
          <w:lang w:eastAsia="ru-RU"/>
        </w:rPr>
      </w:pPr>
    </w:p>
    <w:p w:rsidR="00295C72" w:rsidRPr="006E698E" w:rsidRDefault="00295C72" w:rsidP="00295C72">
      <w:pPr>
        <w:numPr>
          <w:ilvl w:val="0"/>
          <w:numId w:val="2"/>
        </w:numPr>
        <w:ind w:left="567" w:hanging="567"/>
        <w:contextualSpacing/>
        <w:jc w:val="both"/>
        <w:rPr>
          <w:bCs/>
          <w:lang w:eastAsia="ru-RU"/>
        </w:rPr>
      </w:pPr>
      <w:r w:rsidRPr="006E698E">
        <w:rPr>
          <w:lang w:eastAsia="ru-RU"/>
        </w:rPr>
        <w:t xml:space="preserve">Згідно </w:t>
      </w:r>
      <w:r w:rsidR="00AF2666">
        <w:rPr>
          <w:lang w:eastAsia="ru-RU"/>
        </w:rPr>
        <w:t>і</w:t>
      </w:r>
      <w:r w:rsidRPr="006E698E">
        <w:rPr>
          <w:lang w:eastAsia="ru-RU"/>
        </w:rPr>
        <w:t>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295C72" w:rsidRPr="006E698E" w:rsidRDefault="00295C72" w:rsidP="00295C72">
      <w:pPr>
        <w:ind w:left="567"/>
        <w:contextualSpacing/>
        <w:jc w:val="both"/>
        <w:rPr>
          <w:bCs/>
          <w:lang w:eastAsia="ru-RU"/>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Зобов’язання КП БЦМР «Тролейбусне управління» з обслуговування населення чітко встановлені та визначені Законом України «Про міський електричний транспорт», Статутом, Договором 1 та Договором 2</w:t>
      </w:r>
      <w:r w:rsidRPr="006E698E">
        <w:rPr>
          <w:lang w:val="uk-UA"/>
        </w:rPr>
        <w:t xml:space="preserve">, </w:t>
      </w:r>
      <w:r w:rsidRPr="006E698E">
        <w:rPr>
          <w:u w:val="single"/>
          <w:lang w:val="uk-UA"/>
        </w:rPr>
        <w:t>що відповідає нормам статті 1 Регламенту</w:t>
      </w:r>
      <w:r w:rsidRPr="006E698E">
        <w:rPr>
          <w:lang w:val="uk-UA" w:eastAsia="uk-UA"/>
        </w:rPr>
        <w:t xml:space="preserve">. </w:t>
      </w:r>
    </w:p>
    <w:p w:rsidR="00295C72" w:rsidRPr="006E698E" w:rsidRDefault="00295C72" w:rsidP="00295C72">
      <w:pPr>
        <w:ind w:firstLine="567"/>
        <w:jc w:val="both"/>
        <w:rPr>
          <w:u w:val="single"/>
        </w:rPr>
      </w:pPr>
      <w:r w:rsidRPr="006E698E">
        <w:rPr>
          <w:u w:val="single"/>
        </w:rPr>
        <w:t xml:space="preserve">Отже, вимогу Регламенту дотримано.  </w:t>
      </w:r>
    </w:p>
    <w:p w:rsidR="00295C72" w:rsidRPr="006E698E" w:rsidRDefault="00295C72" w:rsidP="00295C72">
      <w:pPr>
        <w:jc w:val="both"/>
        <w:rPr>
          <w:u w:val="single"/>
        </w:rPr>
      </w:pPr>
    </w:p>
    <w:p w:rsidR="00295C72" w:rsidRPr="006E698E" w:rsidRDefault="00295C72" w:rsidP="00295C72">
      <w:pPr>
        <w:numPr>
          <w:ilvl w:val="0"/>
          <w:numId w:val="2"/>
        </w:numPr>
        <w:ind w:left="567" w:hanging="567"/>
        <w:contextualSpacing/>
        <w:jc w:val="both"/>
        <w:rPr>
          <w:bCs/>
        </w:rPr>
      </w:pPr>
      <w:r w:rsidRPr="006E698E">
        <w:rPr>
          <w:b/>
          <w:bCs/>
          <w:i/>
        </w:rPr>
        <w:t>Відповідно до статті 4 Регламенту договір про надання публічних послуг та загальні правила повинні містити:</w:t>
      </w:r>
    </w:p>
    <w:p w:rsidR="00295C72" w:rsidRPr="006E698E" w:rsidRDefault="00295C72" w:rsidP="00295C72">
      <w:pPr>
        <w:numPr>
          <w:ilvl w:val="0"/>
          <w:numId w:val="3"/>
        </w:numPr>
        <w:ind w:left="567" w:hanging="567"/>
        <w:contextualSpacing/>
        <w:jc w:val="both"/>
        <w:rPr>
          <w:b/>
          <w:i/>
        </w:rPr>
      </w:pPr>
      <w:r w:rsidRPr="006E698E">
        <w:rPr>
          <w:b/>
          <w:i/>
        </w:rPr>
        <w:t>чітко визначені зобов’язання щодо публічних послуг, які повинен виконувати суб’єкт господарювання, та відповідні географічні зони;</w:t>
      </w:r>
    </w:p>
    <w:p w:rsidR="00295C72" w:rsidRPr="006E698E" w:rsidRDefault="00295C72" w:rsidP="00295C72">
      <w:pPr>
        <w:numPr>
          <w:ilvl w:val="0"/>
          <w:numId w:val="3"/>
        </w:numPr>
        <w:ind w:left="567" w:hanging="567"/>
        <w:contextualSpacing/>
        <w:jc w:val="both"/>
        <w:rPr>
          <w:b/>
          <w:i/>
        </w:rPr>
      </w:pPr>
      <w:r w:rsidRPr="006E698E">
        <w:rPr>
          <w:b/>
          <w:i/>
        </w:rPr>
        <w:lastRenderedPageBreak/>
        <w:t>параметри, на підставі яких розраховується компенсація</w:t>
      </w:r>
      <w:r w:rsidR="00AF2666">
        <w:rPr>
          <w:b/>
          <w:i/>
        </w:rPr>
        <w:t>,</w:t>
      </w:r>
      <w:r w:rsidRPr="006E698E">
        <w:rPr>
          <w:b/>
          <w:i/>
        </w:rPr>
        <w:t xml:space="preserve"> та наявність будь-яких ексклюзивних прав;</w:t>
      </w:r>
    </w:p>
    <w:p w:rsidR="00295C72" w:rsidRPr="006E698E" w:rsidRDefault="00295C72" w:rsidP="00295C72">
      <w:pPr>
        <w:numPr>
          <w:ilvl w:val="0"/>
          <w:numId w:val="3"/>
        </w:numPr>
        <w:ind w:left="567" w:hanging="567"/>
        <w:contextualSpacing/>
        <w:jc w:val="both"/>
        <w:rPr>
          <w:b/>
          <w:i/>
        </w:rPr>
      </w:pPr>
      <w:r w:rsidRPr="006E698E">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295C72" w:rsidRPr="006E698E" w:rsidRDefault="00295C72" w:rsidP="00295C72">
      <w:pPr>
        <w:numPr>
          <w:ilvl w:val="0"/>
          <w:numId w:val="3"/>
        </w:numPr>
        <w:ind w:left="567" w:hanging="567"/>
        <w:contextualSpacing/>
        <w:jc w:val="both"/>
        <w:rPr>
          <w:b/>
          <w:i/>
        </w:rPr>
      </w:pPr>
      <w:r w:rsidRPr="006E698E">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295C72" w:rsidRPr="006E698E" w:rsidRDefault="00295C72" w:rsidP="00295C72">
      <w:pPr>
        <w:jc w:val="both"/>
        <w:rPr>
          <w:u w:val="single"/>
        </w:rPr>
      </w:pPr>
    </w:p>
    <w:p w:rsidR="00295C72" w:rsidRPr="006E698E" w:rsidRDefault="00295C72" w:rsidP="00295C72">
      <w:pPr>
        <w:pStyle w:val="rvps2"/>
        <w:numPr>
          <w:ilvl w:val="0"/>
          <w:numId w:val="2"/>
        </w:numPr>
        <w:spacing w:before="0" w:beforeAutospacing="0" w:after="0" w:afterAutospacing="0"/>
        <w:ind w:left="567" w:hanging="567"/>
        <w:jc w:val="both"/>
        <w:rPr>
          <w:u w:val="single"/>
          <w:lang w:val="uk-UA"/>
        </w:rPr>
      </w:pPr>
      <w:r w:rsidRPr="006E698E">
        <w:rPr>
          <w:lang w:val="uk-UA" w:eastAsia="uk-UA"/>
        </w:rPr>
        <w:t>Зобов’язання КП БЦМР «Тролейбусне управління» з обслуговування населення чітко встановлені та визначені Законом України «Про міський електричний транспорт», Статутом, Договором 1 та Договором 2.</w:t>
      </w:r>
    </w:p>
    <w:p w:rsidR="00295C72" w:rsidRPr="006E698E" w:rsidRDefault="00295C72" w:rsidP="00295C72">
      <w:pPr>
        <w:pStyle w:val="rvps2"/>
        <w:spacing w:before="0" w:beforeAutospacing="0" w:after="0" w:afterAutospacing="0"/>
        <w:ind w:left="567"/>
        <w:jc w:val="both"/>
        <w:rPr>
          <w:u w:val="single"/>
          <w:lang w:val="uk-UA"/>
        </w:rPr>
      </w:pPr>
    </w:p>
    <w:p w:rsidR="00295C72" w:rsidRPr="006E698E" w:rsidRDefault="00295C72" w:rsidP="00295C72">
      <w:pPr>
        <w:pStyle w:val="rvps2"/>
        <w:numPr>
          <w:ilvl w:val="0"/>
          <w:numId w:val="2"/>
        </w:numPr>
        <w:spacing w:before="0" w:beforeAutospacing="0" w:after="0" w:afterAutospacing="0"/>
        <w:ind w:left="567" w:hanging="567"/>
        <w:jc w:val="both"/>
        <w:rPr>
          <w:u w:val="single"/>
          <w:lang w:val="uk-UA"/>
        </w:rPr>
      </w:pPr>
      <w:r w:rsidRPr="006E698E">
        <w:rPr>
          <w:lang w:val="uk-UA"/>
        </w:rPr>
        <w:t xml:space="preserve">Договір 1 про організацію надання транспортних послуг </w:t>
      </w:r>
      <w:r w:rsidR="009A1EC2">
        <w:rPr>
          <w:lang w:val="uk-UA"/>
        </w:rPr>
        <w:t>і</w:t>
      </w:r>
      <w:r w:rsidRPr="006E698E">
        <w:rPr>
          <w:lang w:val="uk-UA"/>
        </w:rPr>
        <w:t>з перевезень міським електричним транспортом у місті Біла Церква містить чіткий перелік маршрутів та термін дії договору.</w:t>
      </w:r>
    </w:p>
    <w:p w:rsidR="00295C72" w:rsidRPr="006E698E" w:rsidRDefault="00295C72" w:rsidP="00295C72">
      <w:pPr>
        <w:pStyle w:val="rvps2"/>
        <w:spacing w:before="0" w:beforeAutospacing="0" w:after="0" w:afterAutospacing="0"/>
        <w:ind w:left="567"/>
        <w:jc w:val="both"/>
        <w:rPr>
          <w:u w:val="single"/>
          <w:lang w:val="uk-UA"/>
        </w:rPr>
      </w:pPr>
    </w:p>
    <w:p w:rsidR="00295C72" w:rsidRPr="006E698E" w:rsidRDefault="00295C72" w:rsidP="00295C72">
      <w:pPr>
        <w:pStyle w:val="rvps2"/>
        <w:numPr>
          <w:ilvl w:val="0"/>
          <w:numId w:val="2"/>
        </w:numPr>
        <w:spacing w:before="0" w:beforeAutospacing="0" w:after="0" w:afterAutospacing="0"/>
        <w:ind w:left="567" w:hanging="567"/>
        <w:jc w:val="both"/>
        <w:rPr>
          <w:u w:val="single"/>
          <w:lang w:val="uk-UA"/>
        </w:rPr>
      </w:pPr>
      <w:r w:rsidRPr="006E698E">
        <w:rPr>
          <w:lang w:val="uk-UA"/>
        </w:rPr>
        <w:t>Договір 2 про відшкодування витрат за перевезення пільгових категорій громадян міським електричним транспортом у місті Біла Церква містить термін дії договору та розрахунок обсягів відшкодування витрат за пільговий проїзд у міському електричному транспорті.</w:t>
      </w:r>
    </w:p>
    <w:p w:rsidR="00295C72" w:rsidRPr="006E698E" w:rsidRDefault="00295C72" w:rsidP="00295C72">
      <w:pPr>
        <w:pStyle w:val="rvps2"/>
        <w:spacing w:before="0" w:beforeAutospacing="0" w:after="0" w:afterAutospacing="0"/>
        <w:ind w:left="567"/>
        <w:jc w:val="both"/>
        <w:rPr>
          <w:u w:val="single"/>
          <w:lang w:val="uk-UA"/>
        </w:rPr>
      </w:pPr>
    </w:p>
    <w:p w:rsidR="00295C72" w:rsidRPr="006E698E" w:rsidRDefault="00295C72" w:rsidP="00295C72">
      <w:pPr>
        <w:pStyle w:val="rvps2"/>
        <w:numPr>
          <w:ilvl w:val="0"/>
          <w:numId w:val="2"/>
        </w:numPr>
        <w:spacing w:before="0" w:beforeAutospacing="0" w:after="0" w:afterAutospacing="0"/>
        <w:ind w:left="567" w:hanging="567"/>
        <w:jc w:val="both"/>
        <w:rPr>
          <w:u w:val="single"/>
          <w:lang w:val="uk-UA"/>
        </w:rPr>
      </w:pPr>
      <w:r w:rsidRPr="006E698E">
        <w:rPr>
          <w:bCs/>
          <w:lang w:val="uk-UA"/>
        </w:rPr>
        <w:t xml:space="preserve">Проте договори не містять параметрів, на підставі яких розраховується механізм компенсації для уникнення й повернення надмірної компенсації, що </w:t>
      </w:r>
      <w:r w:rsidRPr="006E698E">
        <w:rPr>
          <w:lang w:val="uk-UA"/>
        </w:rPr>
        <w:t>не відповідає нормам статті 4 Регламенту.</w:t>
      </w:r>
    </w:p>
    <w:p w:rsidR="00295C72" w:rsidRPr="006E698E" w:rsidRDefault="00295C72" w:rsidP="00295C72">
      <w:pPr>
        <w:ind w:firstLine="567"/>
        <w:contextualSpacing/>
        <w:jc w:val="both"/>
      </w:pPr>
      <w:r w:rsidRPr="006E698E">
        <w:rPr>
          <w:bCs/>
          <w:u w:val="single"/>
        </w:rPr>
        <w:t>Отже, вимогу Регламенту не дотримано.</w:t>
      </w:r>
      <w:r w:rsidRPr="006E698E">
        <w:t xml:space="preserve"> </w:t>
      </w:r>
    </w:p>
    <w:p w:rsidR="00295C72" w:rsidRPr="006E698E" w:rsidRDefault="00295C72" w:rsidP="00295C72">
      <w:pPr>
        <w:pStyle w:val="rvps2"/>
        <w:spacing w:before="0" w:beforeAutospacing="0" w:after="0" w:afterAutospacing="0"/>
        <w:ind w:left="567"/>
        <w:jc w:val="both"/>
        <w:rPr>
          <w:u w:val="single"/>
          <w:lang w:val="uk-UA"/>
        </w:rPr>
      </w:pPr>
    </w:p>
    <w:p w:rsidR="00295C72" w:rsidRPr="006E698E" w:rsidRDefault="00295C72" w:rsidP="00295C72">
      <w:pPr>
        <w:numPr>
          <w:ilvl w:val="0"/>
          <w:numId w:val="2"/>
        </w:numPr>
        <w:tabs>
          <w:tab w:val="left" w:pos="567"/>
        </w:tabs>
        <w:ind w:left="567" w:hanging="567"/>
        <w:contextualSpacing/>
        <w:jc w:val="both"/>
        <w:rPr>
          <w:bCs/>
        </w:rPr>
      </w:pPr>
      <w:r w:rsidRPr="006E698E">
        <w:rPr>
          <w:b/>
          <w:bCs/>
          <w:i/>
          <w:color w:val="000000" w:themeColor="text1"/>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295C72" w:rsidRPr="006E698E" w:rsidRDefault="00295C72" w:rsidP="00295C72">
      <w:pPr>
        <w:tabs>
          <w:tab w:val="left" w:pos="567"/>
        </w:tabs>
        <w:ind w:left="567"/>
        <w:contextualSpacing/>
        <w:jc w:val="both"/>
        <w:rPr>
          <w:bCs/>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 xml:space="preserve">Відповідно до пункту 2.1 розділу 2 Статуту КП БЦМР «Тролейбусне управління» створено з метою здійснення ініціативної, систематичної на власний ризик діяльності </w:t>
      </w:r>
      <w:r w:rsidR="00274913">
        <w:rPr>
          <w:lang w:val="uk-UA" w:eastAsia="uk-UA"/>
        </w:rPr>
        <w:t>з</w:t>
      </w:r>
      <w:r w:rsidR="00274913" w:rsidRPr="006E698E">
        <w:rPr>
          <w:lang w:val="uk-UA" w:eastAsia="uk-UA"/>
        </w:rPr>
        <w:t xml:space="preserve"> </w:t>
      </w:r>
      <w:r w:rsidRPr="006E698E">
        <w:rPr>
          <w:lang w:val="uk-UA" w:eastAsia="uk-UA"/>
        </w:rPr>
        <w:t>наданн</w:t>
      </w:r>
      <w:r w:rsidR="00274913">
        <w:rPr>
          <w:lang w:val="uk-UA" w:eastAsia="uk-UA"/>
        </w:rPr>
        <w:t>я</w:t>
      </w:r>
      <w:r w:rsidRPr="006E698E">
        <w:rPr>
          <w:lang w:val="uk-UA" w:eastAsia="uk-UA"/>
        </w:rPr>
        <w:t xml:space="preserve"> послуг, виробництв</w:t>
      </w:r>
      <w:r w:rsidR="00274913">
        <w:rPr>
          <w:lang w:val="uk-UA" w:eastAsia="uk-UA"/>
        </w:rPr>
        <w:t>а</w:t>
      </w:r>
      <w:r w:rsidRPr="006E698E">
        <w:rPr>
          <w:lang w:val="uk-UA" w:eastAsia="uk-UA"/>
        </w:rPr>
        <w:t xml:space="preserve"> продукції, виконанн</w:t>
      </w:r>
      <w:r w:rsidR="00274913">
        <w:rPr>
          <w:lang w:val="uk-UA" w:eastAsia="uk-UA"/>
        </w:rPr>
        <w:t>я</w:t>
      </w:r>
      <w:r w:rsidRPr="006E698E">
        <w:rPr>
          <w:lang w:val="uk-UA" w:eastAsia="uk-UA"/>
        </w:rPr>
        <w:t xml:space="preserve"> робіт та іншої підприємницької діяльності для задоволення суспільних потреб щодо діяльності електротранспорту. </w:t>
      </w:r>
    </w:p>
    <w:p w:rsidR="00295C72" w:rsidRPr="006E698E" w:rsidRDefault="00295C72" w:rsidP="00295C72">
      <w:pPr>
        <w:pStyle w:val="rvps2"/>
        <w:spacing w:before="0" w:beforeAutospacing="0" w:after="0" w:afterAutospacing="0"/>
        <w:ind w:left="567"/>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Відповідно до пункту 2.2 розділу 2 Статуту основним напрямом діяльності                                           КП</w:t>
      </w:r>
      <w:r w:rsidR="006339AF">
        <w:rPr>
          <w:lang w:val="uk-UA" w:eastAsia="uk-UA"/>
        </w:rPr>
        <w:t> </w:t>
      </w:r>
      <w:r w:rsidRPr="006E698E">
        <w:rPr>
          <w:lang w:val="uk-UA" w:eastAsia="uk-UA"/>
        </w:rPr>
        <w:t>БЦМР «Тролейбусне управління», зокрема, є діяльність регулярного електротранспорту.</w:t>
      </w:r>
    </w:p>
    <w:p w:rsidR="00295C72" w:rsidRPr="006E698E" w:rsidRDefault="00295C72" w:rsidP="00295C72">
      <w:pPr>
        <w:pStyle w:val="rvps2"/>
        <w:spacing w:before="0" w:beforeAutospacing="0" w:after="0" w:afterAutospacing="0"/>
        <w:jc w:val="both"/>
        <w:rPr>
          <w:lang w:val="uk-UA" w:eastAsia="uk-UA"/>
        </w:rPr>
      </w:pP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t xml:space="preserve">Відповідно до пункту 3.1 розділу 3 Статуту </w:t>
      </w:r>
      <w:r w:rsidRPr="006E698E">
        <w:rPr>
          <w:lang w:val="uk-UA"/>
        </w:rPr>
        <w:t xml:space="preserve">Підприємство є юридичною особою, має відокремлене майно, самостійний баланс, розрахункові та інші рахунки в установах банків, печатку зі своїм найменуванням та ідентифікаційним кодом, штамп. Прав </w:t>
      </w:r>
      <w:r w:rsidR="00844A7B">
        <w:rPr>
          <w:lang w:val="uk-UA"/>
        </w:rPr>
        <w:t>та</w:t>
      </w:r>
      <w:r w:rsidR="00844A7B" w:rsidRPr="006E698E">
        <w:rPr>
          <w:lang w:val="uk-UA"/>
        </w:rPr>
        <w:t xml:space="preserve"> </w:t>
      </w:r>
      <w:r w:rsidRPr="006E698E">
        <w:rPr>
          <w:lang w:val="uk-UA"/>
        </w:rPr>
        <w:t>обов’язк</w:t>
      </w:r>
      <w:r w:rsidR="00844A7B">
        <w:rPr>
          <w:lang w:val="uk-UA"/>
        </w:rPr>
        <w:t>ів</w:t>
      </w:r>
      <w:r w:rsidRPr="006E698E">
        <w:rPr>
          <w:lang w:val="uk-UA"/>
        </w:rPr>
        <w:t xml:space="preserve"> юридичної особи Підприємство набуває з дня його державної реєстрації.</w:t>
      </w:r>
    </w:p>
    <w:p w:rsidR="00295C72" w:rsidRPr="006E698E" w:rsidRDefault="00295C72" w:rsidP="00295C72">
      <w:pPr>
        <w:pStyle w:val="rvps2"/>
        <w:numPr>
          <w:ilvl w:val="0"/>
          <w:numId w:val="2"/>
        </w:numPr>
        <w:spacing w:before="0" w:beforeAutospacing="0" w:after="0" w:afterAutospacing="0"/>
        <w:ind w:left="567" w:hanging="567"/>
        <w:jc w:val="both"/>
        <w:rPr>
          <w:lang w:val="uk-UA" w:eastAsia="uk-UA"/>
        </w:rPr>
      </w:pPr>
      <w:r w:rsidRPr="006E698E">
        <w:rPr>
          <w:lang w:val="uk-UA" w:eastAsia="uk-UA"/>
        </w:rPr>
        <w:lastRenderedPageBreak/>
        <w:t>Відповідно до пункту 4.2 розділу 4 Статуту</w:t>
      </w:r>
      <w:r w:rsidRPr="006E698E">
        <w:rPr>
          <w:lang w:val="uk-UA"/>
        </w:rPr>
        <w:t xml:space="preserve"> майно </w:t>
      </w:r>
      <w:r w:rsidRPr="006E698E">
        <w:rPr>
          <w:lang w:val="uk-UA" w:eastAsia="uk-UA"/>
        </w:rPr>
        <w:t>КП БЦМР «Тролейбусне управління»</w:t>
      </w:r>
      <w:r w:rsidRPr="006E698E">
        <w:rPr>
          <w:lang w:val="uk-UA"/>
        </w:rPr>
        <w:t xml:space="preserve"> перебуває </w:t>
      </w:r>
      <w:r w:rsidR="00844A7B">
        <w:rPr>
          <w:lang w:val="uk-UA"/>
        </w:rPr>
        <w:t>в</w:t>
      </w:r>
      <w:r w:rsidR="00844A7B" w:rsidRPr="006E698E">
        <w:rPr>
          <w:lang w:val="uk-UA"/>
        </w:rPr>
        <w:t xml:space="preserve"> </w:t>
      </w:r>
      <w:r w:rsidRPr="006E698E">
        <w:rPr>
          <w:lang w:val="uk-UA"/>
        </w:rPr>
        <w:t xml:space="preserve">комунальній власності територіальної громади міста Біла Церква </w:t>
      </w:r>
      <w:r w:rsidR="00844A7B">
        <w:rPr>
          <w:lang w:val="uk-UA"/>
        </w:rPr>
        <w:t>й</w:t>
      </w:r>
      <w:r w:rsidR="00844A7B" w:rsidRPr="006E698E">
        <w:rPr>
          <w:lang w:val="uk-UA"/>
        </w:rPr>
        <w:t xml:space="preserve"> </w:t>
      </w:r>
      <w:r w:rsidRPr="006E698E">
        <w:rPr>
          <w:lang w:val="uk-UA"/>
        </w:rPr>
        <w:t xml:space="preserve">закріплюється за Підприємством на праві господарського відання. Органом управління майном є Білоцерківська міська рада, </w:t>
      </w:r>
      <w:r w:rsidRPr="006E698E">
        <w:rPr>
          <w:lang w:val="uk-UA" w:eastAsia="uk-UA"/>
        </w:rPr>
        <w:t>що відповідає нормам пункту 2          статті 5 Регламенту.</w:t>
      </w:r>
    </w:p>
    <w:p w:rsidR="00295C72" w:rsidRDefault="00295C72" w:rsidP="00295C72">
      <w:pPr>
        <w:pStyle w:val="rvps2"/>
        <w:spacing w:before="0" w:beforeAutospacing="0" w:after="0" w:afterAutospacing="0"/>
        <w:ind w:left="567"/>
        <w:contextualSpacing/>
        <w:jc w:val="both"/>
        <w:rPr>
          <w:color w:val="000000" w:themeColor="text1"/>
          <w:u w:val="single"/>
          <w:lang w:val="uk-UA"/>
        </w:rPr>
      </w:pPr>
      <w:r w:rsidRPr="006E698E">
        <w:rPr>
          <w:color w:val="000000" w:themeColor="text1"/>
          <w:u w:val="single"/>
          <w:lang w:val="uk-UA"/>
        </w:rPr>
        <w:t>Отже, вимогу критерію дотримано.</w:t>
      </w:r>
    </w:p>
    <w:p w:rsidR="0078634A" w:rsidRPr="006E698E" w:rsidRDefault="0078634A" w:rsidP="0078634A">
      <w:pPr>
        <w:pStyle w:val="rvps2"/>
        <w:spacing w:before="0" w:beforeAutospacing="0" w:after="0" w:afterAutospacing="0"/>
        <w:contextualSpacing/>
        <w:jc w:val="both"/>
        <w:rPr>
          <w:color w:val="000000" w:themeColor="text1"/>
          <w:lang w:val="uk-UA"/>
        </w:rPr>
      </w:pPr>
    </w:p>
    <w:p w:rsidR="00295C72" w:rsidRPr="006E698E" w:rsidRDefault="00295C72" w:rsidP="00295C72">
      <w:pPr>
        <w:numPr>
          <w:ilvl w:val="0"/>
          <w:numId w:val="2"/>
        </w:numPr>
        <w:tabs>
          <w:tab w:val="left" w:pos="567"/>
        </w:tabs>
        <w:ind w:left="567" w:hanging="567"/>
        <w:contextualSpacing/>
        <w:jc w:val="both"/>
        <w:rPr>
          <w:bCs/>
        </w:rPr>
      </w:pPr>
      <w:r w:rsidRPr="006E698E">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295C72" w:rsidRPr="006E698E" w:rsidRDefault="00295C72" w:rsidP="00295C72">
      <w:pPr>
        <w:tabs>
          <w:tab w:val="left" w:pos="567"/>
        </w:tabs>
        <w:ind w:left="567"/>
        <w:contextualSpacing/>
        <w:jc w:val="both"/>
        <w:rPr>
          <w:bCs/>
        </w:rPr>
      </w:pPr>
    </w:p>
    <w:p w:rsidR="00295C72" w:rsidRPr="006E698E" w:rsidRDefault="00295C72" w:rsidP="00295C72">
      <w:pPr>
        <w:pStyle w:val="rvps2"/>
        <w:numPr>
          <w:ilvl w:val="0"/>
          <w:numId w:val="2"/>
        </w:numPr>
        <w:spacing w:before="0" w:beforeAutospacing="0" w:after="0" w:afterAutospacing="0"/>
        <w:ind w:left="567" w:hanging="567"/>
        <w:jc w:val="both"/>
        <w:rPr>
          <w:u w:val="single"/>
          <w:lang w:val="uk-UA" w:eastAsia="uk-UA"/>
        </w:rPr>
      </w:pPr>
      <w:r w:rsidRPr="006E698E">
        <w:rPr>
          <w:lang w:val="uk-UA" w:eastAsia="uk-UA"/>
        </w:rPr>
        <w:t xml:space="preserve">Отримувач не бере участі в інших тендерах на надання послуг із перевезення пасажирів, які проводяться за межами території компетентного місцевого органу влади, </w:t>
      </w:r>
      <w:r w:rsidRPr="006E698E">
        <w:rPr>
          <w:u w:val="single"/>
          <w:lang w:val="uk-UA" w:eastAsia="uk-UA"/>
        </w:rPr>
        <w:t>що відповідає нормам пункту 2 статті 5 Регламенту.</w:t>
      </w:r>
    </w:p>
    <w:p w:rsidR="00295C72" w:rsidRPr="006E698E" w:rsidRDefault="00295C72" w:rsidP="00295C72">
      <w:pPr>
        <w:ind w:firstLine="567"/>
        <w:rPr>
          <w:bCs/>
          <w:u w:val="single"/>
        </w:rPr>
      </w:pPr>
      <w:r w:rsidRPr="006E698E">
        <w:rPr>
          <w:bCs/>
          <w:u w:val="single"/>
        </w:rPr>
        <w:t xml:space="preserve">Отже, вимогу Регламенту дотримано.   </w:t>
      </w:r>
    </w:p>
    <w:p w:rsidR="00295C72" w:rsidRPr="006E698E" w:rsidRDefault="00295C72" w:rsidP="00295C72">
      <w:pPr>
        <w:ind w:firstLine="567"/>
        <w:rPr>
          <w:bCs/>
          <w:u w:val="single"/>
        </w:rPr>
      </w:pPr>
      <w:r w:rsidRPr="006E698E">
        <w:rPr>
          <w:bCs/>
          <w:u w:val="single"/>
        </w:rPr>
        <w:t xml:space="preserve"> </w:t>
      </w:r>
    </w:p>
    <w:p w:rsidR="00295C72" w:rsidRPr="006E698E" w:rsidRDefault="00295C72" w:rsidP="00295C72">
      <w:pPr>
        <w:numPr>
          <w:ilvl w:val="0"/>
          <w:numId w:val="2"/>
        </w:numPr>
        <w:tabs>
          <w:tab w:val="left" w:pos="567"/>
        </w:tabs>
        <w:ind w:left="567" w:hanging="567"/>
        <w:contextualSpacing/>
        <w:jc w:val="both"/>
        <w:rPr>
          <w:bCs/>
          <w:color w:val="000000" w:themeColor="text1"/>
        </w:rPr>
      </w:pPr>
      <w:r w:rsidRPr="006E698E">
        <w:rPr>
          <w:b/>
          <w:bCs/>
          <w:i/>
        </w:rPr>
        <w:t xml:space="preserve">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w:t>
      </w:r>
      <w:r w:rsidRPr="006E698E">
        <w:rPr>
          <w:b/>
          <w:bCs/>
          <w:i/>
          <w:color w:val="000000" w:themeColor="text1"/>
        </w:rPr>
        <w:t>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6E698E">
        <w:rPr>
          <w:bCs/>
          <w:color w:val="000000" w:themeColor="text1"/>
        </w:rPr>
        <w:t xml:space="preserve">. </w:t>
      </w:r>
    </w:p>
    <w:p w:rsidR="00295C72" w:rsidRPr="006E698E" w:rsidRDefault="00295C72" w:rsidP="00295C72">
      <w:pPr>
        <w:tabs>
          <w:tab w:val="left" w:pos="567"/>
        </w:tabs>
        <w:ind w:left="567"/>
        <w:contextualSpacing/>
        <w:jc w:val="both"/>
        <w:rPr>
          <w:bCs/>
          <w:color w:val="000000" w:themeColor="text1"/>
        </w:rPr>
      </w:pPr>
    </w:p>
    <w:p w:rsidR="00295C72" w:rsidRPr="006E698E" w:rsidRDefault="00295C72" w:rsidP="00295C72">
      <w:pPr>
        <w:pStyle w:val="rvps2"/>
        <w:numPr>
          <w:ilvl w:val="0"/>
          <w:numId w:val="2"/>
        </w:numPr>
        <w:spacing w:before="0" w:beforeAutospacing="0" w:after="0" w:afterAutospacing="0"/>
        <w:ind w:left="567" w:hanging="567"/>
        <w:jc w:val="both"/>
        <w:rPr>
          <w:color w:val="000000" w:themeColor="text1"/>
          <w:lang w:val="uk-UA"/>
        </w:rPr>
      </w:pPr>
      <w:r w:rsidRPr="006E698E">
        <w:rPr>
          <w:bCs/>
          <w:color w:val="000000" w:themeColor="text1"/>
          <w:lang w:val="uk-UA"/>
        </w:rPr>
        <w:t xml:space="preserve">Відповідно до інформації, отриманої під час розгляду </w:t>
      </w:r>
      <w:proofErr w:type="spellStart"/>
      <w:r w:rsidRPr="006E698E">
        <w:rPr>
          <w:bCs/>
          <w:color w:val="000000" w:themeColor="text1"/>
          <w:lang w:val="uk-UA"/>
        </w:rPr>
        <w:t>Cправи</w:t>
      </w:r>
      <w:proofErr w:type="spellEnd"/>
      <w:r w:rsidRPr="006E698E">
        <w:rPr>
          <w:color w:val="000000" w:themeColor="text1"/>
          <w:lang w:val="uk-UA"/>
        </w:rPr>
        <w:t>, н</w:t>
      </w:r>
      <w:r w:rsidRPr="006E698E">
        <w:rPr>
          <w:lang w:val="uk-UA"/>
        </w:rPr>
        <w:t xml:space="preserve">а Підприємстві бухгалтерський облік ведеться відповідно до наказу від 04.01.2021 № 1 «Про облікову політику на Підприємстві». </w:t>
      </w:r>
      <w:r w:rsidRPr="006E698E">
        <w:rPr>
          <w:lang w:val="uk-UA" w:eastAsia="uk-UA"/>
        </w:rPr>
        <w:t xml:space="preserve">Усі отримані доходи в процесі своєї діяльності Отримувач </w:t>
      </w:r>
      <w:r w:rsidRPr="006E698E">
        <w:rPr>
          <w:color w:val="000000" w:themeColor="text1"/>
          <w:lang w:val="uk-UA" w:eastAsia="uk-UA"/>
        </w:rPr>
        <w:t>державної підтримки обліковує на окремих рахунках бухгалтерського обліку, а також окремо по рахунках списуються всі товарно-матеріальні цінності, роботи та послуги, які були придбані та оприбутковані Підприємством</w:t>
      </w:r>
      <w:r w:rsidRPr="006E698E">
        <w:rPr>
          <w:color w:val="000000" w:themeColor="text1"/>
          <w:lang w:val="uk-UA"/>
        </w:rPr>
        <w:t xml:space="preserve">, від яких залежить фактична собівартість наданих послуг. </w:t>
      </w:r>
    </w:p>
    <w:p w:rsidR="00295C72" w:rsidRPr="006E698E" w:rsidRDefault="00295C72" w:rsidP="00295C72">
      <w:pPr>
        <w:rPr>
          <w:color w:val="000000" w:themeColor="text1"/>
          <w:lang w:eastAsia="ru-RU"/>
        </w:rPr>
      </w:pPr>
    </w:p>
    <w:p w:rsidR="00295C72" w:rsidRPr="006E698E" w:rsidRDefault="00295C72" w:rsidP="00295C72">
      <w:pPr>
        <w:pStyle w:val="docdata"/>
        <w:numPr>
          <w:ilvl w:val="0"/>
          <w:numId w:val="2"/>
        </w:numPr>
        <w:spacing w:before="0" w:beforeAutospacing="0" w:after="0" w:afterAutospacing="0"/>
        <w:ind w:left="567" w:right="-1" w:hanging="567"/>
        <w:jc w:val="both"/>
        <w:rPr>
          <w:color w:val="000000" w:themeColor="text1"/>
        </w:rPr>
      </w:pPr>
      <w:r w:rsidRPr="006E698E">
        <w:rPr>
          <w:color w:val="000000" w:themeColor="text1"/>
          <w:lang w:eastAsia="ru-RU"/>
        </w:rPr>
        <w:t xml:space="preserve">На Підприємстві облік пільгових </w:t>
      </w:r>
      <w:proofErr w:type="spellStart"/>
      <w:r w:rsidRPr="006E698E">
        <w:rPr>
          <w:color w:val="000000" w:themeColor="text1"/>
          <w:lang w:eastAsia="ru-RU"/>
        </w:rPr>
        <w:t>категорій</w:t>
      </w:r>
      <w:proofErr w:type="spellEnd"/>
      <w:r w:rsidRPr="006E698E">
        <w:rPr>
          <w:color w:val="000000" w:themeColor="text1"/>
          <w:lang w:eastAsia="ru-RU"/>
        </w:rPr>
        <w:t xml:space="preserve"> населення </w:t>
      </w:r>
      <w:proofErr w:type="spellStart"/>
      <w:r w:rsidRPr="006E698E">
        <w:rPr>
          <w:color w:val="000000" w:themeColor="text1"/>
          <w:lang w:eastAsia="ru-RU"/>
        </w:rPr>
        <w:t>здійсню</w:t>
      </w:r>
      <w:r w:rsidR="00844A7B">
        <w:rPr>
          <w:color w:val="000000" w:themeColor="text1"/>
          <w:lang w:eastAsia="ru-RU"/>
        </w:rPr>
        <w:t>ють</w:t>
      </w:r>
      <w:proofErr w:type="spellEnd"/>
      <w:r w:rsidRPr="006E698E">
        <w:rPr>
          <w:color w:val="000000" w:themeColor="text1"/>
          <w:lang w:eastAsia="ru-RU"/>
        </w:rPr>
        <w:t xml:space="preserve"> кондуктори громадського транспорту, а в період обмежувальних заходів </w:t>
      </w:r>
      <w:r w:rsidRPr="006E698E">
        <w:rPr>
          <w:color w:val="000000" w:themeColor="text1"/>
        </w:rPr>
        <w:t xml:space="preserve">– </w:t>
      </w:r>
      <w:r w:rsidRPr="006E698E">
        <w:rPr>
          <w:color w:val="000000" w:themeColor="text1"/>
          <w:lang w:eastAsia="ru-RU"/>
        </w:rPr>
        <w:t>воді</w:t>
      </w:r>
      <w:r w:rsidR="00175D87">
        <w:rPr>
          <w:color w:val="000000" w:themeColor="text1"/>
          <w:lang w:eastAsia="ru-RU"/>
        </w:rPr>
        <w:t>ї</w:t>
      </w:r>
      <w:r w:rsidRPr="006E698E">
        <w:rPr>
          <w:color w:val="000000" w:themeColor="text1"/>
          <w:lang w:eastAsia="ru-RU"/>
        </w:rPr>
        <w:t xml:space="preserve"> </w:t>
      </w:r>
      <w:proofErr w:type="spellStart"/>
      <w:r w:rsidRPr="006E698E">
        <w:rPr>
          <w:color w:val="000000" w:themeColor="text1"/>
          <w:lang w:eastAsia="ru-RU"/>
        </w:rPr>
        <w:t>тролейбусів</w:t>
      </w:r>
      <w:proofErr w:type="spellEnd"/>
      <w:r w:rsidRPr="006E698E">
        <w:rPr>
          <w:color w:val="000000" w:themeColor="text1"/>
          <w:lang w:eastAsia="ru-RU"/>
        </w:rPr>
        <w:t xml:space="preserve"> шляхом видачі квитків на пільговий проїзд встановленого зразка на Підприємстві, дані підсумовуються протягом місяця та обліковуються в акті на видачу разових абонементних квитків пасажирам (</w:t>
      </w:r>
      <w:r w:rsidR="00175D87">
        <w:rPr>
          <w:color w:val="000000" w:themeColor="text1"/>
          <w:lang w:eastAsia="ru-RU"/>
        </w:rPr>
        <w:t>у</w:t>
      </w:r>
      <w:r w:rsidR="00175D87" w:rsidRPr="006E698E">
        <w:rPr>
          <w:color w:val="000000" w:themeColor="text1"/>
          <w:lang w:eastAsia="ru-RU"/>
        </w:rPr>
        <w:t xml:space="preserve"> </w:t>
      </w:r>
      <w:r w:rsidRPr="006E698E">
        <w:rPr>
          <w:color w:val="000000" w:themeColor="text1"/>
          <w:lang w:eastAsia="ru-RU"/>
        </w:rPr>
        <w:t xml:space="preserve">розрізі кожної особи, </w:t>
      </w:r>
      <w:r w:rsidR="00175D87">
        <w:rPr>
          <w:color w:val="000000" w:themeColor="text1"/>
          <w:lang w:eastAsia="ru-RU"/>
        </w:rPr>
        <w:t xml:space="preserve">що </w:t>
      </w:r>
      <w:r w:rsidRPr="006E698E">
        <w:rPr>
          <w:color w:val="000000" w:themeColor="text1"/>
          <w:lang w:eastAsia="ru-RU"/>
        </w:rPr>
        <w:t xml:space="preserve"> вида</w:t>
      </w:r>
      <w:r w:rsidR="00175D87">
        <w:rPr>
          <w:color w:val="000000" w:themeColor="text1"/>
          <w:lang w:eastAsia="ru-RU"/>
        </w:rPr>
        <w:t>вала</w:t>
      </w:r>
      <w:r w:rsidRPr="006E698E">
        <w:rPr>
          <w:color w:val="000000" w:themeColor="text1"/>
          <w:lang w:eastAsia="ru-RU"/>
        </w:rPr>
        <w:t xml:space="preserve"> квитк</w:t>
      </w:r>
      <w:r w:rsidR="00175D87">
        <w:rPr>
          <w:color w:val="000000" w:themeColor="text1"/>
          <w:lang w:eastAsia="ru-RU"/>
        </w:rPr>
        <w:t>и</w:t>
      </w:r>
      <w:r w:rsidRPr="006E698E">
        <w:rPr>
          <w:color w:val="000000" w:themeColor="text1"/>
          <w:lang w:eastAsia="ru-RU"/>
        </w:rPr>
        <w:t>), які мають право на пільговий проїзд (вказана кількість перевезених пільгових пасажирів)</w:t>
      </w:r>
      <w:r w:rsidR="00175D87">
        <w:rPr>
          <w:color w:val="000000" w:themeColor="text1"/>
          <w:lang w:eastAsia="ru-RU"/>
        </w:rPr>
        <w:t>,</w:t>
      </w:r>
      <w:r w:rsidRPr="006E698E">
        <w:rPr>
          <w:color w:val="000000" w:themeColor="text1"/>
          <w:lang w:eastAsia="ru-RU"/>
        </w:rPr>
        <w:t xml:space="preserve"> та відповідно до акт</w:t>
      </w:r>
      <w:r w:rsidR="00175D87">
        <w:rPr>
          <w:color w:val="000000" w:themeColor="text1"/>
          <w:lang w:eastAsia="ru-RU"/>
        </w:rPr>
        <w:t>а</w:t>
      </w:r>
      <w:r w:rsidRPr="006E698E">
        <w:rPr>
          <w:color w:val="000000" w:themeColor="text1"/>
          <w:lang w:eastAsia="ru-RU"/>
        </w:rPr>
        <w:t xml:space="preserve"> складається розрахунок обсягів відшкодування витрат за пільговий проїзд у міському електричному транспорті, в якому вказується сума відшкодувань за пільгові перевезення. Ці розрахунки разом </w:t>
      </w:r>
      <w:r w:rsidR="00175D87">
        <w:rPr>
          <w:color w:val="000000" w:themeColor="text1"/>
          <w:lang w:eastAsia="ru-RU"/>
        </w:rPr>
        <w:t>і</w:t>
      </w:r>
      <w:r w:rsidRPr="006E698E">
        <w:rPr>
          <w:color w:val="000000" w:themeColor="text1"/>
          <w:lang w:eastAsia="ru-RU"/>
        </w:rPr>
        <w:t>з листом та актом звірки розрахунків надаються щомісячно Управлінн</w:t>
      </w:r>
      <w:r w:rsidR="006339AF">
        <w:rPr>
          <w:color w:val="000000" w:themeColor="text1"/>
          <w:lang w:eastAsia="ru-RU"/>
        </w:rPr>
        <w:t>ю</w:t>
      </w:r>
      <w:r w:rsidRPr="006E698E">
        <w:rPr>
          <w:color w:val="000000" w:themeColor="text1"/>
          <w:lang w:eastAsia="ru-RU"/>
        </w:rPr>
        <w:t xml:space="preserve"> соціального захисту населення Білоцерківської міської ради, відповідно до </w:t>
      </w:r>
      <w:r w:rsidR="00F75924">
        <w:rPr>
          <w:color w:val="000000" w:themeColor="text1"/>
          <w:lang w:eastAsia="ru-RU"/>
        </w:rPr>
        <w:t>цих документів</w:t>
      </w:r>
      <w:r w:rsidR="00F75924" w:rsidRPr="006E698E">
        <w:rPr>
          <w:color w:val="000000" w:themeColor="text1"/>
          <w:lang w:eastAsia="ru-RU"/>
        </w:rPr>
        <w:t xml:space="preserve"> </w:t>
      </w:r>
      <w:r w:rsidRPr="006E698E">
        <w:rPr>
          <w:color w:val="000000" w:themeColor="text1"/>
          <w:lang w:eastAsia="ru-RU"/>
        </w:rPr>
        <w:t xml:space="preserve">здійснюється фінансування з місцевого бюджету. </w:t>
      </w:r>
    </w:p>
    <w:p w:rsidR="00295C72" w:rsidRPr="006E698E" w:rsidRDefault="00295C72" w:rsidP="00295C72">
      <w:pPr>
        <w:pStyle w:val="docdata"/>
        <w:spacing w:before="0" w:beforeAutospacing="0" w:after="0" w:afterAutospacing="0"/>
        <w:ind w:left="567" w:right="-1"/>
        <w:jc w:val="both"/>
        <w:rPr>
          <w:color w:val="000000" w:themeColor="text1"/>
        </w:rPr>
      </w:pPr>
    </w:p>
    <w:p w:rsidR="00295C72" w:rsidRPr="006E698E" w:rsidRDefault="00295C72" w:rsidP="00295C72">
      <w:pPr>
        <w:pStyle w:val="docdata"/>
        <w:numPr>
          <w:ilvl w:val="0"/>
          <w:numId w:val="2"/>
        </w:numPr>
        <w:spacing w:before="0" w:beforeAutospacing="0" w:after="0" w:afterAutospacing="0"/>
        <w:ind w:left="567" w:right="-1" w:hanging="567"/>
        <w:jc w:val="both"/>
        <w:rPr>
          <w:color w:val="000000" w:themeColor="text1"/>
        </w:rPr>
      </w:pPr>
      <w:r w:rsidRPr="006E698E">
        <w:rPr>
          <w:color w:val="000000" w:themeColor="text1"/>
          <w:lang w:eastAsia="ru-RU"/>
        </w:rPr>
        <w:t>Надавачем зазначено, що виділені кошти (або частина виділених коштів), які не буд</w:t>
      </w:r>
      <w:r w:rsidR="00175D87">
        <w:rPr>
          <w:color w:val="000000" w:themeColor="text1"/>
          <w:lang w:eastAsia="ru-RU"/>
        </w:rPr>
        <w:t>е</w:t>
      </w:r>
      <w:r w:rsidRPr="006E698E">
        <w:rPr>
          <w:color w:val="000000" w:themeColor="text1"/>
          <w:lang w:eastAsia="ru-RU"/>
        </w:rPr>
        <w:t xml:space="preserve"> освоєн</w:t>
      </w:r>
      <w:r w:rsidR="00175D87">
        <w:rPr>
          <w:color w:val="000000" w:themeColor="text1"/>
          <w:lang w:eastAsia="ru-RU"/>
        </w:rPr>
        <w:t>о</w:t>
      </w:r>
      <w:r w:rsidRPr="006E698E">
        <w:rPr>
          <w:color w:val="000000" w:themeColor="text1"/>
          <w:lang w:eastAsia="ru-RU"/>
        </w:rPr>
        <w:t xml:space="preserve"> протя</w:t>
      </w:r>
      <w:r w:rsidR="00175D87">
        <w:rPr>
          <w:color w:val="000000" w:themeColor="text1"/>
          <w:lang w:eastAsia="ru-RU"/>
        </w:rPr>
        <w:t>гом</w:t>
      </w:r>
      <w:r w:rsidRPr="006E698E">
        <w:rPr>
          <w:color w:val="000000" w:themeColor="text1"/>
          <w:lang w:eastAsia="ru-RU"/>
        </w:rPr>
        <w:t xml:space="preserve"> року, будуть повернені до міського бюджету згідно </w:t>
      </w:r>
      <w:r w:rsidR="00175D87">
        <w:rPr>
          <w:color w:val="000000" w:themeColor="text1"/>
          <w:lang w:eastAsia="ru-RU"/>
        </w:rPr>
        <w:t xml:space="preserve">з </w:t>
      </w:r>
      <w:r w:rsidRPr="006E698E">
        <w:rPr>
          <w:color w:val="000000" w:themeColor="text1"/>
          <w:lang w:eastAsia="ru-RU"/>
        </w:rPr>
        <w:t>чинн</w:t>
      </w:r>
      <w:r w:rsidR="00175D87">
        <w:rPr>
          <w:color w:val="000000" w:themeColor="text1"/>
          <w:lang w:eastAsia="ru-RU"/>
        </w:rPr>
        <w:t>им</w:t>
      </w:r>
      <w:r w:rsidRPr="006E698E">
        <w:rPr>
          <w:color w:val="000000" w:themeColor="text1"/>
          <w:lang w:eastAsia="ru-RU"/>
        </w:rPr>
        <w:t xml:space="preserve"> законодавств</w:t>
      </w:r>
      <w:r w:rsidR="00175D87">
        <w:rPr>
          <w:color w:val="000000" w:themeColor="text1"/>
          <w:lang w:eastAsia="ru-RU"/>
        </w:rPr>
        <w:t>ом</w:t>
      </w:r>
      <w:r w:rsidRPr="006E698E">
        <w:rPr>
          <w:color w:val="000000" w:themeColor="text1"/>
          <w:lang w:eastAsia="ru-RU"/>
        </w:rPr>
        <w:t>. Контроль за цільовим використанням бюджетних коштів забезпечують головні розпорядники бюджетних коштів. Підприємство, яке отримує кошти з міського бюджету за результатами своєї діяльності, пода</w:t>
      </w:r>
      <w:r w:rsidR="00FE7CE2">
        <w:rPr>
          <w:color w:val="000000" w:themeColor="text1"/>
          <w:lang w:eastAsia="ru-RU"/>
        </w:rPr>
        <w:t>є</w:t>
      </w:r>
      <w:r w:rsidRPr="006E698E">
        <w:rPr>
          <w:color w:val="000000" w:themeColor="text1"/>
          <w:lang w:eastAsia="ru-RU"/>
        </w:rPr>
        <w:t xml:space="preserve"> щомісячно до 10 числа місяця, що настає за звітним періодом, головному розпоряднику коштів міського бюджету фінансові звіти з пояснювальною запискою. </w:t>
      </w:r>
    </w:p>
    <w:p w:rsidR="00295C72" w:rsidRDefault="00295C72" w:rsidP="0010609F">
      <w:pPr>
        <w:pStyle w:val="docdata"/>
        <w:spacing w:before="0" w:beforeAutospacing="0" w:after="0" w:afterAutospacing="0"/>
        <w:ind w:left="567" w:right="-1"/>
        <w:jc w:val="both"/>
        <w:rPr>
          <w:bCs/>
          <w:u w:val="single"/>
        </w:rPr>
      </w:pPr>
      <w:r w:rsidRPr="006E698E">
        <w:rPr>
          <w:bCs/>
          <w:u w:val="single"/>
        </w:rPr>
        <w:lastRenderedPageBreak/>
        <w:t>Отже, вимогу Регламенту дотримано.</w:t>
      </w:r>
    </w:p>
    <w:p w:rsidR="0078634A" w:rsidRPr="006E698E" w:rsidRDefault="0078634A" w:rsidP="0078634A">
      <w:pPr>
        <w:pStyle w:val="docdata"/>
        <w:spacing w:before="0" w:beforeAutospacing="0" w:after="0" w:afterAutospacing="0"/>
        <w:ind w:right="-1"/>
        <w:jc w:val="both"/>
      </w:pPr>
    </w:p>
    <w:p w:rsidR="00295C72" w:rsidRPr="006E698E" w:rsidRDefault="00295C72" w:rsidP="00295C72">
      <w:pPr>
        <w:pStyle w:val="a3"/>
        <w:numPr>
          <w:ilvl w:val="0"/>
          <w:numId w:val="2"/>
        </w:numPr>
        <w:ind w:left="567" w:hanging="567"/>
        <w:jc w:val="both"/>
        <w:rPr>
          <w:bCs/>
        </w:rPr>
      </w:pPr>
      <w:r w:rsidRPr="006E698E">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8739AD">
        <w:rPr>
          <w:b/>
          <w:bCs/>
          <w:i/>
        </w:rPr>
        <w:t>я</w:t>
      </w:r>
      <w:r w:rsidRPr="006E698E">
        <w:rPr>
          <w:b/>
          <w:bCs/>
          <w:i/>
        </w:rPr>
        <w:t xml:space="preserve"> відповідно до Методики згідно з вимогами додатка до Регламенту.</w:t>
      </w:r>
    </w:p>
    <w:p w:rsidR="00295C72" w:rsidRPr="006E698E" w:rsidRDefault="00295C72" w:rsidP="00295C72">
      <w:pPr>
        <w:pStyle w:val="a3"/>
        <w:ind w:left="567"/>
        <w:jc w:val="both"/>
        <w:rPr>
          <w:bCs/>
        </w:rPr>
      </w:pPr>
    </w:p>
    <w:p w:rsidR="00295C72" w:rsidRPr="006E698E" w:rsidRDefault="00295C72" w:rsidP="00295C72">
      <w:pPr>
        <w:pStyle w:val="a3"/>
        <w:numPr>
          <w:ilvl w:val="0"/>
          <w:numId w:val="2"/>
        </w:numPr>
        <w:ind w:left="567" w:hanging="567"/>
        <w:jc w:val="both"/>
        <w:rPr>
          <w:bCs/>
        </w:rPr>
      </w:pPr>
      <w:r w:rsidRPr="006E698E">
        <w:rPr>
          <w:bCs/>
        </w:rPr>
        <w:t>Надавач 1</w:t>
      </w:r>
      <w:r w:rsidRPr="006E698E">
        <w:t xml:space="preserve"> повідомив, що планує розробити Методику розрахунку компенсації на н</w:t>
      </w:r>
      <w:r w:rsidRPr="006E698E">
        <w:rPr>
          <w:color w:val="000000" w:themeColor="text1"/>
        </w:rPr>
        <w:t>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w:t>
      </w:r>
      <w:r w:rsidR="00FB67F8">
        <w:rPr>
          <w:color w:val="000000" w:themeColor="text1"/>
        </w:rPr>
        <w:t> </w:t>
      </w:r>
      <w:r w:rsidRPr="006E698E">
        <w:rPr>
          <w:color w:val="000000" w:themeColor="text1"/>
        </w:rPr>
        <w:t>1370/2007 Європейського Парламенту і Ради від 23.10.2007 про громадські послуги з перевезення пасажирів залізницею та автомобільними шляхами.</w:t>
      </w:r>
    </w:p>
    <w:p w:rsidR="00295C72" w:rsidRPr="006E698E" w:rsidRDefault="00295C72" w:rsidP="00295C72">
      <w:pPr>
        <w:jc w:val="both"/>
        <w:rPr>
          <w:bCs/>
        </w:rPr>
      </w:pPr>
    </w:p>
    <w:p w:rsidR="00295C72" w:rsidRPr="006E698E" w:rsidRDefault="00295C72" w:rsidP="00295C72">
      <w:pPr>
        <w:pStyle w:val="a3"/>
        <w:numPr>
          <w:ilvl w:val="0"/>
          <w:numId w:val="2"/>
        </w:numPr>
        <w:ind w:left="567" w:hanging="567"/>
        <w:jc w:val="both"/>
        <w:rPr>
          <w:bCs/>
        </w:rPr>
      </w:pPr>
      <w:r w:rsidRPr="006E698E">
        <w:rPr>
          <w:bCs/>
        </w:rPr>
        <w:t xml:space="preserve">Оскільки </w:t>
      </w:r>
      <w:r w:rsidR="008739AD">
        <w:rPr>
          <w:bCs/>
        </w:rPr>
        <w:t>в</w:t>
      </w:r>
      <w:r w:rsidR="008739AD" w:rsidRPr="006E698E">
        <w:rPr>
          <w:bCs/>
        </w:rPr>
        <w:t xml:space="preserve"> </w:t>
      </w:r>
      <w:r w:rsidRPr="006E698E">
        <w:rPr>
          <w:bCs/>
        </w:rPr>
        <w:t xml:space="preserve">Надавачів </w:t>
      </w:r>
      <w:r w:rsidR="00FB67F8">
        <w:rPr>
          <w:bCs/>
        </w:rPr>
        <w:t xml:space="preserve">1 та 2 </w:t>
      </w:r>
      <w:r w:rsidRPr="006E698E">
        <w:rPr>
          <w:bCs/>
        </w:rPr>
        <w:t>відсутній механізм розрахунку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295C72" w:rsidRPr="006E698E" w:rsidRDefault="00295C72" w:rsidP="00295C72">
      <w:pPr>
        <w:ind w:firstLine="567"/>
        <w:rPr>
          <w:bCs/>
          <w:u w:val="single"/>
        </w:rPr>
      </w:pPr>
      <w:r w:rsidRPr="006E698E">
        <w:rPr>
          <w:bCs/>
          <w:u w:val="single"/>
        </w:rPr>
        <w:t>Отже, вимогу Регламенту не дотримано.</w:t>
      </w:r>
    </w:p>
    <w:p w:rsidR="00295C72" w:rsidRPr="006E698E" w:rsidRDefault="00295C72" w:rsidP="00295C72">
      <w:pPr>
        <w:rPr>
          <w:bCs/>
          <w:u w:val="single"/>
        </w:rPr>
      </w:pPr>
    </w:p>
    <w:p w:rsidR="00295C72" w:rsidRPr="006E698E" w:rsidRDefault="00295C72" w:rsidP="00295C72">
      <w:pPr>
        <w:numPr>
          <w:ilvl w:val="0"/>
          <w:numId w:val="2"/>
        </w:numPr>
        <w:ind w:left="567" w:hanging="567"/>
        <w:contextualSpacing/>
        <w:jc w:val="both"/>
        <w:rPr>
          <w:bCs/>
        </w:rPr>
      </w:pPr>
      <w:r w:rsidRPr="006E698E">
        <w:rPr>
          <w:b/>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rsidR="00295C72" w:rsidRPr="006E698E" w:rsidRDefault="00295C72" w:rsidP="00295C72">
      <w:pPr>
        <w:ind w:left="567"/>
        <w:contextualSpacing/>
        <w:jc w:val="both"/>
        <w:rPr>
          <w:bCs/>
        </w:rPr>
      </w:pPr>
    </w:p>
    <w:p w:rsidR="00295C72" w:rsidRPr="006E698E" w:rsidRDefault="00295C72" w:rsidP="00295C72">
      <w:pPr>
        <w:numPr>
          <w:ilvl w:val="0"/>
          <w:numId w:val="2"/>
        </w:numPr>
        <w:ind w:left="567" w:hanging="567"/>
        <w:contextualSpacing/>
        <w:jc w:val="both"/>
        <w:rPr>
          <w:bCs/>
        </w:rPr>
      </w:pPr>
      <w:r w:rsidRPr="006E698E">
        <w:rPr>
          <w:b/>
          <w:bCs/>
          <w:i/>
        </w:rPr>
        <w:t>У пункті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295C72" w:rsidRPr="006E698E" w:rsidRDefault="00295C72" w:rsidP="00295C72">
      <w:pPr>
        <w:ind w:left="567"/>
        <w:contextualSpacing/>
        <w:jc w:val="both"/>
        <w:rPr>
          <w:bCs/>
        </w:rPr>
      </w:pPr>
    </w:p>
    <w:p w:rsidR="00295C72" w:rsidRPr="006E698E" w:rsidRDefault="00295C72" w:rsidP="00295C72">
      <w:pPr>
        <w:numPr>
          <w:ilvl w:val="0"/>
          <w:numId w:val="2"/>
        </w:numPr>
        <w:ind w:left="567" w:hanging="567"/>
        <w:contextualSpacing/>
        <w:jc w:val="both"/>
        <w:rPr>
          <w:b/>
          <w:bCs/>
          <w:i/>
        </w:rPr>
      </w:pPr>
      <w:r w:rsidRPr="006E698E">
        <w:t xml:space="preserve">Надавач 1 та Надавач 2 не надали інформації та підтвердних документів щодо параметрів, на підставі яких обчислюється компенсація, а також відсутня інформація </w:t>
      </w:r>
      <w:r w:rsidR="00291463">
        <w:t>про</w:t>
      </w:r>
      <w:r w:rsidR="00291463" w:rsidRPr="006E698E">
        <w:t xml:space="preserve"> </w:t>
      </w:r>
      <w:r w:rsidRPr="006E698E">
        <w:t>об’єктивн</w:t>
      </w:r>
      <w:r w:rsidR="00291463">
        <w:t>і</w:t>
      </w:r>
      <w:r w:rsidRPr="006E698E">
        <w:t>ст</w:t>
      </w:r>
      <w:r w:rsidR="00291463">
        <w:t>ь</w:t>
      </w:r>
      <w:r w:rsidRPr="006E698E">
        <w:t xml:space="preserve"> та прозор</w:t>
      </w:r>
      <w:r w:rsidR="00291463">
        <w:t>ість</w:t>
      </w:r>
      <w:r w:rsidRPr="006E698E">
        <w:t xml:space="preserve"> обчислення відповідної компенсації.</w:t>
      </w:r>
    </w:p>
    <w:p w:rsidR="00295C72" w:rsidRPr="006E698E" w:rsidRDefault="00295C72" w:rsidP="00295C72">
      <w:pPr>
        <w:pStyle w:val="rvps2"/>
        <w:spacing w:before="0" w:beforeAutospacing="0" w:after="0" w:afterAutospacing="0"/>
        <w:ind w:left="567"/>
        <w:contextualSpacing/>
        <w:jc w:val="both"/>
        <w:rPr>
          <w:u w:val="single"/>
          <w:lang w:val="uk-UA"/>
        </w:rPr>
      </w:pPr>
      <w:r w:rsidRPr="006E698E">
        <w:rPr>
          <w:u w:val="single"/>
          <w:lang w:val="uk-UA"/>
        </w:rPr>
        <w:t>Отже, вимогу критерію не дотримано.</w:t>
      </w:r>
    </w:p>
    <w:p w:rsidR="00295C72" w:rsidRPr="006E698E" w:rsidRDefault="00295C72" w:rsidP="00295C72">
      <w:pPr>
        <w:ind w:firstLine="567"/>
        <w:rPr>
          <w:bCs/>
          <w:u w:val="single"/>
        </w:rPr>
      </w:pPr>
    </w:p>
    <w:p w:rsidR="00295C72" w:rsidRPr="006E698E" w:rsidRDefault="00295C72" w:rsidP="00295C72">
      <w:pPr>
        <w:numPr>
          <w:ilvl w:val="0"/>
          <w:numId w:val="2"/>
        </w:numPr>
        <w:tabs>
          <w:tab w:val="left" w:pos="567"/>
        </w:tabs>
        <w:ind w:left="567" w:hanging="567"/>
        <w:contextualSpacing/>
        <w:jc w:val="both"/>
        <w:rPr>
          <w:bCs/>
        </w:rPr>
      </w:pPr>
      <w:r w:rsidRPr="006E698E">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295C72" w:rsidRPr="006E698E" w:rsidRDefault="00295C72" w:rsidP="00295C72">
      <w:pPr>
        <w:tabs>
          <w:tab w:val="left" w:pos="567"/>
        </w:tabs>
        <w:ind w:left="567"/>
        <w:contextualSpacing/>
        <w:jc w:val="both"/>
        <w:rPr>
          <w:bCs/>
        </w:rPr>
      </w:pPr>
    </w:p>
    <w:p w:rsidR="00295C72" w:rsidRPr="006E698E" w:rsidRDefault="00295C72" w:rsidP="00295C72">
      <w:pPr>
        <w:numPr>
          <w:ilvl w:val="0"/>
          <w:numId w:val="2"/>
        </w:numPr>
        <w:tabs>
          <w:tab w:val="left" w:pos="567"/>
        </w:tabs>
        <w:ind w:left="567" w:hanging="567"/>
        <w:contextualSpacing/>
        <w:jc w:val="both"/>
        <w:rPr>
          <w:bCs/>
        </w:rPr>
      </w:pPr>
      <w:r w:rsidRPr="006E698E">
        <w:rPr>
          <w:bCs/>
          <w:u w:val="single"/>
        </w:rPr>
        <w:t>Отже, вимог та норм Регламенту дотримано не в повному обсязі.</w:t>
      </w:r>
    </w:p>
    <w:p w:rsidR="00295C72" w:rsidRPr="006E698E" w:rsidRDefault="00295C72" w:rsidP="00295C72">
      <w:pPr>
        <w:rPr>
          <w:u w:val="single"/>
        </w:rPr>
      </w:pPr>
    </w:p>
    <w:p w:rsidR="00295C72" w:rsidRPr="006E698E" w:rsidRDefault="00295C72" w:rsidP="0078634A">
      <w:pPr>
        <w:pStyle w:val="rvps2"/>
        <w:numPr>
          <w:ilvl w:val="0"/>
          <w:numId w:val="2"/>
        </w:numPr>
        <w:spacing w:before="0" w:beforeAutospacing="0" w:after="0" w:afterAutospacing="0"/>
        <w:ind w:left="567" w:hanging="567"/>
        <w:jc w:val="both"/>
        <w:rPr>
          <w:b/>
          <w:lang w:val="uk-UA"/>
        </w:rPr>
      </w:pPr>
      <w:r w:rsidRPr="006E698E">
        <w:rPr>
          <w:lang w:val="uk-UA"/>
        </w:rPr>
        <w:t xml:space="preserve">Враховуючи викладене, державна </w:t>
      </w:r>
      <w:r w:rsidRPr="006E698E">
        <w:rPr>
          <w:lang w:val="uk-UA" w:eastAsia="uk-UA"/>
        </w:rPr>
        <w:t>допомога у формі субсидій та поточних трансфертів (</w:t>
      </w:r>
      <w:r w:rsidRPr="006E698E">
        <w:rPr>
          <w:rFonts w:eastAsiaTheme="minorHAnsi"/>
          <w:lang w:val="uk-UA" w:eastAsia="en-US"/>
        </w:rPr>
        <w:t xml:space="preserve">відповідно до Програми 1 </w:t>
      </w:r>
      <w:r w:rsidR="00120D18">
        <w:rPr>
          <w:rFonts w:eastAsiaTheme="minorHAnsi"/>
          <w:lang w:val="uk-UA" w:eastAsia="en-US"/>
        </w:rPr>
        <w:t>і</w:t>
      </w:r>
      <w:r w:rsidR="00120D18" w:rsidRPr="006E698E">
        <w:rPr>
          <w:rFonts w:eastAsiaTheme="minorHAnsi"/>
          <w:lang w:val="uk-UA" w:eastAsia="en-US"/>
        </w:rPr>
        <w:t xml:space="preserve"> </w:t>
      </w:r>
      <w:r w:rsidR="0079254C" w:rsidRPr="006E698E">
        <w:rPr>
          <w:rFonts w:eastAsiaTheme="minorHAnsi"/>
          <w:lang w:val="uk-UA"/>
        </w:rPr>
        <w:t>Програми 2</w:t>
      </w:r>
      <w:r w:rsidRPr="006E698E">
        <w:rPr>
          <w:rFonts w:eastAsiaTheme="minorHAnsi"/>
          <w:lang w:val="uk-UA" w:eastAsia="en-US"/>
        </w:rPr>
        <w:t>)</w:t>
      </w:r>
      <w:r w:rsidRPr="006E698E">
        <w:rPr>
          <w:lang w:val="uk-UA" w:eastAsia="uk-UA"/>
        </w:rPr>
        <w:t xml:space="preserve"> та капітальних трансфертів (в</w:t>
      </w:r>
      <w:r w:rsidRPr="006E698E">
        <w:rPr>
          <w:rFonts w:eastAsiaTheme="minorHAnsi"/>
          <w:lang w:val="uk-UA" w:eastAsia="en-US"/>
        </w:rPr>
        <w:t xml:space="preserve">ідповідно до Програми </w:t>
      </w:r>
      <w:r w:rsidR="0079254C" w:rsidRPr="006E698E">
        <w:rPr>
          <w:rFonts w:eastAsiaTheme="minorHAnsi"/>
          <w:lang w:val="uk-UA" w:eastAsia="en-US"/>
        </w:rPr>
        <w:t>3</w:t>
      </w:r>
      <w:r w:rsidRPr="006E698E">
        <w:rPr>
          <w:rFonts w:eastAsiaTheme="minorHAnsi"/>
          <w:lang w:val="uk-UA" w:eastAsia="en-US"/>
        </w:rPr>
        <w:t>)</w:t>
      </w:r>
      <w:r w:rsidRPr="006E698E">
        <w:rPr>
          <w:lang w:val="uk-UA" w:eastAsia="uk-UA"/>
        </w:rPr>
        <w:t xml:space="preserve"> для </w:t>
      </w:r>
      <w:r w:rsidRPr="006E698E">
        <w:rPr>
          <w:lang w:val="uk-UA"/>
        </w:rPr>
        <w:t xml:space="preserve">покращення якості надання послуг </w:t>
      </w:r>
      <w:r w:rsidR="00120D18">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електротранспорту </w:t>
      </w:r>
      <w:r w:rsidR="00120D18">
        <w:rPr>
          <w:lang w:val="uk-UA" w:eastAsia="uk-UA"/>
        </w:rPr>
        <w:t>в</w:t>
      </w:r>
      <w:r w:rsidR="00120D18" w:rsidRPr="006E698E">
        <w:rPr>
          <w:lang w:val="uk-UA" w:eastAsia="uk-UA"/>
        </w:rPr>
        <w:t xml:space="preserve"> </w:t>
      </w:r>
      <w:r w:rsidRPr="006E698E">
        <w:rPr>
          <w:lang w:val="uk-UA" w:eastAsia="uk-UA"/>
        </w:rPr>
        <w:t>міських пасажирських перевезеннях</w:t>
      </w:r>
      <w:r w:rsidRPr="006E698E">
        <w:rPr>
          <w:rFonts w:eastAsiaTheme="minorHAnsi"/>
          <w:lang w:val="uk-UA"/>
        </w:rPr>
        <w:t>,</w:t>
      </w:r>
      <w:r w:rsidRPr="006E698E">
        <w:rPr>
          <w:lang w:val="uk-UA" w:eastAsia="uk-UA"/>
        </w:rPr>
        <w:t xml:space="preserve"> що виділяється на підставі </w:t>
      </w:r>
      <w:r w:rsidRPr="006E698E">
        <w:rPr>
          <w:color w:val="000000" w:themeColor="text1"/>
          <w:lang w:val="uk-UA"/>
        </w:rPr>
        <w:t>рішення Білоцерківської міської ради від 24.12.2020 № 58-05-VIII «</w:t>
      </w:r>
      <w:r w:rsidRPr="006E698E">
        <w:rPr>
          <w:color w:val="000000" w:themeColor="text1"/>
          <w:lang w:val="uk-UA" w:eastAsia="uk-UA"/>
        </w:rPr>
        <w:t xml:space="preserve">Про затвердження Програми надання окремих видів пільг на 2021-2023 роки» </w:t>
      </w:r>
      <w:r w:rsidR="00401298" w:rsidRPr="006E698E">
        <w:rPr>
          <w:lang w:val="uk-UA" w:eastAsia="uk-UA"/>
        </w:rPr>
        <w:t>КП</w:t>
      </w:r>
      <w:r w:rsidRPr="006E698E">
        <w:rPr>
          <w:lang w:val="uk-UA" w:eastAsia="uk-UA"/>
        </w:rPr>
        <w:t xml:space="preserve"> </w:t>
      </w:r>
      <w:r w:rsidR="003C6189" w:rsidRPr="006E698E">
        <w:rPr>
          <w:lang w:val="uk-UA" w:eastAsia="uk-UA"/>
        </w:rPr>
        <w:t xml:space="preserve">БЦМР </w:t>
      </w:r>
      <w:r w:rsidRPr="006E698E">
        <w:rPr>
          <w:lang w:val="uk-UA" w:eastAsia="uk-UA"/>
        </w:rPr>
        <w:t>«Тролейбусне управління» на період з 01.01.2021 по 31.12.2023</w:t>
      </w:r>
      <w:r w:rsidR="00A54F6F" w:rsidRPr="006E698E">
        <w:rPr>
          <w:color w:val="000000" w:themeColor="text1"/>
          <w:lang w:val="uk-UA" w:eastAsia="uk-UA"/>
        </w:rPr>
        <w:t xml:space="preserve"> </w:t>
      </w:r>
      <w:r w:rsidRPr="006E698E">
        <w:rPr>
          <w:lang w:val="uk-UA" w:eastAsia="uk-UA"/>
        </w:rPr>
        <w:t>та</w:t>
      </w:r>
      <w:r w:rsidRPr="006E698E">
        <w:rPr>
          <w:b/>
          <w:lang w:val="uk-UA"/>
        </w:rPr>
        <w:t xml:space="preserve"> </w:t>
      </w:r>
      <w:r w:rsidRPr="006E698E">
        <w:rPr>
          <w:lang w:val="uk-UA"/>
        </w:rPr>
        <w:t xml:space="preserve">рішення Білоцерківської міської ради від 15.05.2020 № 5239-96-VII «Про затвердження Програми розвитку електротранспорту міста Білої Церкви на 2021 </w:t>
      </w:r>
      <w:r w:rsidRPr="006E698E">
        <w:rPr>
          <w:lang w:val="uk-UA" w:eastAsia="uk-UA"/>
        </w:rPr>
        <w:t xml:space="preserve">– </w:t>
      </w:r>
      <w:r w:rsidRPr="006E698E">
        <w:rPr>
          <w:lang w:val="uk-UA"/>
        </w:rPr>
        <w:t xml:space="preserve">2025 роки» </w:t>
      </w:r>
      <w:r w:rsidR="000456E6" w:rsidRPr="006E698E">
        <w:rPr>
          <w:lang w:val="uk-UA" w:eastAsia="uk-UA"/>
        </w:rPr>
        <w:t>КП</w:t>
      </w:r>
      <w:r w:rsidRPr="006E698E">
        <w:rPr>
          <w:lang w:val="uk-UA" w:eastAsia="uk-UA"/>
        </w:rPr>
        <w:t xml:space="preserve"> </w:t>
      </w:r>
      <w:r w:rsidR="003C6189" w:rsidRPr="006E698E">
        <w:rPr>
          <w:lang w:val="uk-UA" w:eastAsia="uk-UA"/>
        </w:rPr>
        <w:t xml:space="preserve">БЦМР </w:t>
      </w:r>
      <w:r w:rsidRPr="006E698E">
        <w:rPr>
          <w:lang w:val="uk-UA" w:eastAsia="uk-UA"/>
        </w:rPr>
        <w:t xml:space="preserve">«Тролейбусне управління» на період з 01.01.2021 по 31.12.2025 у сумі 323 275 500 (триста двадцять три мільйони двісті </w:t>
      </w:r>
      <w:r w:rsidRPr="006E698E">
        <w:rPr>
          <w:lang w:val="uk-UA" w:eastAsia="uk-UA"/>
        </w:rPr>
        <w:lastRenderedPageBreak/>
        <w:t xml:space="preserve">сімдесят п’ять тисяч п’ятсот) гривень, є допустимою для конкуренції </w:t>
      </w:r>
      <w:r w:rsidRPr="006E698E">
        <w:rPr>
          <w:lang w:val="uk-UA"/>
        </w:rPr>
        <w:t xml:space="preserve">за умови виконання </w:t>
      </w:r>
      <w:r w:rsidRPr="006E698E">
        <w:rPr>
          <w:lang w:val="uk-UA" w:eastAsia="uk-UA"/>
        </w:rPr>
        <w:t>Виконавчим комітетом Білоцерківської міської ради та Управлінням соціального захисту населення Білоцерківської міської ради</w:t>
      </w:r>
      <w:r w:rsidRPr="006E698E">
        <w:rPr>
          <w:lang w:val="uk-UA"/>
        </w:rPr>
        <w:t xml:space="preserve"> зобов’язань:</w:t>
      </w:r>
    </w:p>
    <w:p w:rsidR="00295C72" w:rsidRPr="006E698E" w:rsidRDefault="00295C72" w:rsidP="00295C72">
      <w:pPr>
        <w:pStyle w:val="rvps2"/>
        <w:ind w:left="567" w:hanging="567"/>
        <w:contextualSpacing/>
        <w:jc w:val="both"/>
        <w:rPr>
          <w:lang w:val="uk-UA"/>
        </w:rPr>
      </w:pPr>
      <w:r w:rsidRPr="006E698E">
        <w:rPr>
          <w:lang w:val="uk-UA"/>
        </w:rPr>
        <w:t xml:space="preserve">1) </w:t>
      </w:r>
      <w:r w:rsidRPr="006E698E">
        <w:rPr>
          <w:lang w:val="uk-UA"/>
        </w:rPr>
        <w:tab/>
        <w:t>розробити та затвердити 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громадські послуги з перевезення пасажирів залізницею та автомобільними шляхами), в якому повинні бути чітко визначені:</w:t>
      </w:r>
    </w:p>
    <w:p w:rsidR="00295C72" w:rsidRPr="006E698E" w:rsidRDefault="00295C72" w:rsidP="00295C72">
      <w:pPr>
        <w:pStyle w:val="rvps2"/>
        <w:ind w:left="567" w:hanging="567"/>
        <w:contextualSpacing/>
        <w:jc w:val="both"/>
        <w:rPr>
          <w:lang w:val="uk-UA"/>
        </w:rPr>
      </w:pPr>
      <w:r w:rsidRPr="006E698E">
        <w:rPr>
          <w:lang w:val="uk-UA"/>
        </w:rPr>
        <w:t>-</w:t>
      </w:r>
      <w:r w:rsidRPr="006E698E">
        <w:rPr>
          <w:lang w:val="uk-UA"/>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295C72" w:rsidRPr="006E698E" w:rsidRDefault="00295C72" w:rsidP="00295C72">
      <w:pPr>
        <w:pStyle w:val="rvps2"/>
        <w:ind w:left="567" w:hanging="567"/>
        <w:contextualSpacing/>
        <w:jc w:val="both"/>
        <w:rPr>
          <w:lang w:val="uk-UA"/>
        </w:rPr>
      </w:pPr>
      <w:r w:rsidRPr="006E698E">
        <w:rPr>
          <w:lang w:val="uk-UA"/>
        </w:rPr>
        <w:t>-</w:t>
      </w:r>
      <w:r w:rsidRPr="006E698E">
        <w:rPr>
          <w:lang w:val="uk-UA"/>
        </w:rPr>
        <w:tab/>
        <w:t>заходи щодо уникнення та повернення компенсації у випадку надання надмірної компенсації;</w:t>
      </w:r>
    </w:p>
    <w:p w:rsidR="00295C72" w:rsidRPr="006E698E" w:rsidRDefault="00295C72" w:rsidP="00295C72">
      <w:pPr>
        <w:pStyle w:val="rvps2"/>
        <w:ind w:left="567" w:hanging="567"/>
        <w:contextualSpacing/>
        <w:jc w:val="both"/>
        <w:rPr>
          <w:lang w:val="uk-UA" w:eastAsia="uk-UA"/>
        </w:rPr>
      </w:pPr>
      <w:r w:rsidRPr="006E698E">
        <w:rPr>
          <w:lang w:val="uk-UA"/>
        </w:rPr>
        <w:t xml:space="preserve">2) </w:t>
      </w:r>
      <w:r w:rsidRPr="006E698E">
        <w:rPr>
          <w:lang w:val="uk-UA"/>
        </w:rPr>
        <w:tab/>
        <w:t xml:space="preserve">з метою уникнення отримання </w:t>
      </w:r>
      <w:r w:rsidR="00401298" w:rsidRPr="006E698E">
        <w:rPr>
          <w:color w:val="000000" w:themeColor="text1"/>
          <w:lang w:val="uk-UA" w:eastAsia="uk-UA"/>
        </w:rPr>
        <w:t>КП</w:t>
      </w:r>
      <w:r w:rsidR="00120D18">
        <w:rPr>
          <w:lang w:val="uk-UA" w:eastAsia="uk-UA"/>
        </w:rPr>
        <w:t xml:space="preserve"> </w:t>
      </w:r>
      <w:r w:rsidR="003C6189" w:rsidRPr="006E698E">
        <w:rPr>
          <w:lang w:val="uk-UA" w:eastAsia="uk-UA"/>
        </w:rPr>
        <w:t xml:space="preserve">БЦМР </w:t>
      </w:r>
      <w:r w:rsidRPr="006E698E">
        <w:rPr>
          <w:lang w:val="uk-UA" w:eastAsia="uk-UA"/>
        </w:rPr>
        <w:t xml:space="preserve">«Тролейбусне управління» надмірної (подвійної) компенсації забезпечити </w:t>
      </w:r>
      <w:proofErr w:type="spellStart"/>
      <w:r w:rsidRPr="006E698E">
        <w:rPr>
          <w:lang w:val="uk-UA" w:eastAsia="uk-UA"/>
        </w:rPr>
        <w:t>невключення</w:t>
      </w:r>
      <w:proofErr w:type="spellEnd"/>
      <w:r w:rsidRPr="006E698E">
        <w:rPr>
          <w:lang w:val="uk-UA" w:eastAsia="uk-UA"/>
        </w:rPr>
        <w:t xml:space="preserve"> амортизаційних нарахувань за </w:t>
      </w:r>
      <w:r w:rsidRPr="006E698E">
        <w:rPr>
          <w:bCs/>
          <w:lang w:val="uk-UA"/>
        </w:rPr>
        <w:t xml:space="preserve">придбані (оновлені) тролейбуси </w:t>
      </w:r>
      <w:r w:rsidRPr="006E698E">
        <w:rPr>
          <w:lang w:val="uk-UA"/>
        </w:rPr>
        <w:t>та оновлене обладнання</w:t>
      </w:r>
      <w:r w:rsidRPr="006E698E">
        <w:rPr>
          <w:lang w:val="uk-UA" w:eastAsia="uk-UA"/>
        </w:rPr>
        <w:t xml:space="preserve"> п</w:t>
      </w:r>
      <w:r w:rsidRPr="006E698E">
        <w:rPr>
          <w:lang w:val="uk-UA"/>
        </w:rPr>
        <w:t xml:space="preserve">ід час розрахунку в майбутньому вартості нового тарифу на </w:t>
      </w:r>
      <w:r w:rsidRPr="006E698E">
        <w:rPr>
          <w:bCs/>
          <w:lang w:val="uk-UA"/>
        </w:rPr>
        <w:t xml:space="preserve">перевезення пасажирів електричним транспортом у місті Біла Церква для </w:t>
      </w:r>
      <w:r w:rsidR="00401298" w:rsidRPr="006E698E">
        <w:rPr>
          <w:color w:val="000000" w:themeColor="text1"/>
          <w:lang w:val="uk-UA" w:eastAsia="uk-UA"/>
        </w:rPr>
        <w:t>КП</w:t>
      </w:r>
      <w:r w:rsidRPr="006E698E">
        <w:rPr>
          <w:lang w:val="uk-UA" w:eastAsia="uk-UA"/>
        </w:rPr>
        <w:t xml:space="preserve"> </w:t>
      </w:r>
      <w:r w:rsidR="003C6189" w:rsidRPr="006E698E">
        <w:rPr>
          <w:lang w:val="uk-UA" w:eastAsia="uk-UA"/>
        </w:rPr>
        <w:t xml:space="preserve">БЦМР </w:t>
      </w:r>
      <w:r w:rsidRPr="006E698E">
        <w:rPr>
          <w:lang w:val="uk-UA" w:eastAsia="uk-UA"/>
        </w:rPr>
        <w:t>«Тролейбусне управління»</w:t>
      </w:r>
      <w:r w:rsidRPr="006E698E">
        <w:rPr>
          <w:bCs/>
          <w:lang w:val="uk-UA"/>
        </w:rPr>
        <w:t xml:space="preserve">, </w:t>
      </w:r>
      <w:r w:rsidRPr="006E698E">
        <w:rPr>
          <w:lang w:val="uk-UA" w:eastAsia="uk-UA"/>
        </w:rPr>
        <w:t xml:space="preserve">або коригування наявного тарифу, </w:t>
      </w:r>
      <w:r w:rsidRPr="006E698E">
        <w:rPr>
          <w:lang w:val="uk-UA"/>
        </w:rPr>
        <w:t xml:space="preserve">у зв’язку з тим, що придбані </w:t>
      </w:r>
      <w:r w:rsidRPr="006E698E">
        <w:rPr>
          <w:bCs/>
          <w:lang w:val="uk-UA"/>
        </w:rPr>
        <w:t xml:space="preserve">тролейбуси </w:t>
      </w:r>
      <w:r w:rsidRPr="006E698E">
        <w:rPr>
          <w:lang w:val="uk-UA" w:eastAsia="uk-UA"/>
        </w:rPr>
        <w:t xml:space="preserve">будуть передані </w:t>
      </w:r>
      <w:r w:rsidR="00401298" w:rsidRPr="006E698E">
        <w:rPr>
          <w:color w:val="000000" w:themeColor="text1"/>
          <w:lang w:val="uk-UA" w:eastAsia="uk-UA"/>
        </w:rPr>
        <w:t>КП</w:t>
      </w:r>
      <w:r w:rsidR="003C6189" w:rsidRPr="006E698E">
        <w:rPr>
          <w:lang w:val="uk-UA"/>
        </w:rPr>
        <w:t xml:space="preserve"> </w:t>
      </w:r>
      <w:r w:rsidR="003C6189" w:rsidRPr="006E698E">
        <w:rPr>
          <w:color w:val="000000" w:themeColor="text1"/>
          <w:lang w:val="uk-UA" w:eastAsia="uk-UA"/>
        </w:rPr>
        <w:t>БЦМР</w:t>
      </w:r>
      <w:r w:rsidRPr="006E698E">
        <w:rPr>
          <w:lang w:val="uk-UA" w:eastAsia="uk-UA"/>
        </w:rPr>
        <w:t xml:space="preserve"> «Тролейбусне управління» на безкоштовній основі;</w:t>
      </w:r>
    </w:p>
    <w:p w:rsidR="00295C72" w:rsidRPr="006E698E" w:rsidRDefault="00295C72" w:rsidP="00295C72">
      <w:pPr>
        <w:pStyle w:val="rvps2"/>
        <w:ind w:left="567" w:hanging="567"/>
        <w:contextualSpacing/>
        <w:jc w:val="both"/>
        <w:rPr>
          <w:lang w:val="uk-UA" w:eastAsia="uk-UA"/>
        </w:rPr>
      </w:pPr>
      <w:r w:rsidRPr="006E698E">
        <w:rPr>
          <w:lang w:val="uk-UA" w:eastAsia="uk-UA"/>
        </w:rPr>
        <w:t xml:space="preserve">3) </w:t>
      </w:r>
      <w:r w:rsidRPr="006E698E">
        <w:rPr>
          <w:lang w:val="uk-UA" w:eastAsia="uk-UA"/>
        </w:rPr>
        <w:tab/>
        <w:t xml:space="preserve">у разі включення </w:t>
      </w:r>
      <w:r w:rsidRPr="006E698E">
        <w:rPr>
          <w:lang w:val="uk-UA"/>
        </w:rPr>
        <w:t xml:space="preserve">амортизаційних нарахувань у вартість </w:t>
      </w:r>
      <w:r w:rsidRPr="006E698E">
        <w:rPr>
          <w:bCs/>
          <w:lang w:val="uk-UA"/>
        </w:rPr>
        <w:t xml:space="preserve">перевезення пасажирів електричним транспортом, </w:t>
      </w:r>
      <w:r w:rsidRPr="006E698E">
        <w:rPr>
          <w:lang w:val="uk-UA"/>
        </w:rPr>
        <w:t>який придбано (або оновлено) за кошти державної допомоги,</w:t>
      </w:r>
      <w:r w:rsidRPr="006E698E">
        <w:rPr>
          <w:lang w:val="uk-UA" w:eastAsia="uk-UA"/>
        </w:rPr>
        <w:t xml:space="preserve"> з</w:t>
      </w:r>
      <w:r w:rsidRPr="006E698E">
        <w:rPr>
          <w:lang w:val="uk-UA"/>
        </w:rPr>
        <w:t xml:space="preserve">абезпечити повернення </w:t>
      </w:r>
      <w:r w:rsidR="00401298" w:rsidRPr="006E698E">
        <w:rPr>
          <w:color w:val="000000" w:themeColor="text1"/>
          <w:lang w:val="uk-UA" w:eastAsia="uk-UA"/>
        </w:rPr>
        <w:t>КП</w:t>
      </w:r>
      <w:r w:rsidRPr="006E698E">
        <w:rPr>
          <w:lang w:val="uk-UA" w:eastAsia="uk-UA"/>
        </w:rPr>
        <w:t xml:space="preserve"> </w:t>
      </w:r>
      <w:r w:rsidR="003C6189" w:rsidRPr="006E698E">
        <w:rPr>
          <w:lang w:val="uk-UA" w:eastAsia="uk-UA"/>
        </w:rPr>
        <w:t xml:space="preserve">БЦМР </w:t>
      </w:r>
      <w:r w:rsidRPr="006E698E">
        <w:rPr>
          <w:lang w:val="uk-UA" w:eastAsia="uk-UA"/>
        </w:rPr>
        <w:t xml:space="preserve">«Тролейбусне управління» </w:t>
      </w:r>
      <w:r w:rsidRPr="006E698E">
        <w:rPr>
          <w:lang w:val="uk-UA"/>
        </w:rPr>
        <w:t>таких амортизаційних нарахувань</w:t>
      </w:r>
      <w:r w:rsidRPr="006E698E">
        <w:rPr>
          <w:lang w:val="uk-UA" w:eastAsia="uk-UA"/>
        </w:rPr>
        <w:t xml:space="preserve">. </w:t>
      </w:r>
    </w:p>
    <w:p w:rsidR="00295C72" w:rsidRPr="006E698E" w:rsidRDefault="00295C72" w:rsidP="00295C72">
      <w:pPr>
        <w:pStyle w:val="a3"/>
        <w:numPr>
          <w:ilvl w:val="0"/>
          <w:numId w:val="2"/>
        </w:numPr>
        <w:ind w:left="567" w:hanging="567"/>
        <w:jc w:val="both"/>
        <w:rPr>
          <w:color w:val="000000" w:themeColor="text1"/>
        </w:rPr>
      </w:pPr>
      <w:r w:rsidRPr="006E698E">
        <w:rPr>
          <w:color w:val="000000" w:themeColor="text1"/>
        </w:rPr>
        <w:t xml:space="preserve">Разом із цим </w:t>
      </w:r>
      <w:r w:rsidRPr="006E698E">
        <w:t>Надавач 1 та Надавач 2 зобов’язані:</w:t>
      </w:r>
    </w:p>
    <w:p w:rsidR="00295C72" w:rsidRPr="006E698E" w:rsidRDefault="00295C72" w:rsidP="00295C72">
      <w:pPr>
        <w:pStyle w:val="rvps2"/>
        <w:spacing w:before="0" w:beforeAutospacing="0" w:after="0" w:afterAutospacing="0"/>
        <w:ind w:left="567" w:hanging="567"/>
        <w:jc w:val="both"/>
        <w:rPr>
          <w:lang w:val="uk-UA" w:eastAsia="uk-UA"/>
        </w:rPr>
      </w:pPr>
      <w:r w:rsidRPr="006E698E">
        <w:rPr>
          <w:shd w:val="clear" w:color="auto" w:fill="FFFFFF"/>
          <w:lang w:val="uk-UA"/>
        </w:rPr>
        <w:t xml:space="preserve">- </w:t>
      </w:r>
      <w:r w:rsidRPr="006E698E">
        <w:rPr>
          <w:shd w:val="clear" w:color="auto" w:fill="FFFFFF"/>
          <w:lang w:val="uk-UA"/>
        </w:rPr>
        <w:tab/>
        <w:t xml:space="preserve">з метою запобігання неналежному використанню державної допомоги наприкінці кожного року надання державної допомоги, але не пізніше ніж до 31 грудня поточного року, надавати Уповноваженому органу інформацію про здійснені заходи з моніторингу та контролю фактичного використання державної допомоги, визначеної в цьому </w:t>
      </w:r>
      <w:r w:rsidR="001109A7">
        <w:rPr>
          <w:shd w:val="clear" w:color="auto" w:fill="FFFFFF"/>
          <w:lang w:val="uk-UA"/>
        </w:rPr>
        <w:t>рішенні</w:t>
      </w:r>
      <w:r w:rsidRPr="006E698E">
        <w:rPr>
          <w:shd w:val="clear" w:color="auto" w:fill="FFFFFF"/>
          <w:lang w:val="uk-UA"/>
        </w:rPr>
        <w:t xml:space="preserve">; </w:t>
      </w:r>
    </w:p>
    <w:p w:rsidR="00295C72" w:rsidRPr="006E698E" w:rsidRDefault="00295C72" w:rsidP="00295C72">
      <w:pPr>
        <w:pStyle w:val="rvps2"/>
        <w:spacing w:before="0" w:beforeAutospacing="0" w:after="0" w:afterAutospacing="0"/>
        <w:ind w:left="567" w:hanging="567"/>
        <w:jc w:val="both"/>
        <w:rPr>
          <w:lang w:val="uk-UA" w:eastAsia="uk-UA"/>
        </w:rPr>
      </w:pPr>
      <w:r w:rsidRPr="006E698E">
        <w:rPr>
          <w:bCs/>
          <w:lang w:val="uk-UA"/>
        </w:rPr>
        <w:t xml:space="preserve">- </w:t>
      </w:r>
      <w:r w:rsidRPr="006E698E">
        <w:rPr>
          <w:bCs/>
          <w:lang w:val="uk-UA"/>
        </w:rPr>
        <w:tab/>
        <w:t xml:space="preserve">після закінчення строку дії програм, які є підставою для надання державної допомоги, </w:t>
      </w:r>
      <w:r w:rsidRPr="006E698E">
        <w:rPr>
          <w:lang w:val="uk-UA" w:eastAsia="uk-UA"/>
        </w:rPr>
        <w:t xml:space="preserve">надати Уповноваженому органу інформацію про всю фактично надану державну допомогу, визначену в цьому </w:t>
      </w:r>
      <w:r w:rsidR="001109A7">
        <w:rPr>
          <w:lang w:val="uk-UA" w:eastAsia="uk-UA"/>
        </w:rPr>
        <w:t>рішенні</w:t>
      </w:r>
      <w:r w:rsidRPr="006E698E">
        <w:rPr>
          <w:lang w:val="uk-UA" w:eastAsia="uk-UA"/>
        </w:rPr>
        <w:t>.</w:t>
      </w:r>
    </w:p>
    <w:p w:rsidR="00295C72" w:rsidRPr="006E698E" w:rsidRDefault="00295C72" w:rsidP="00295C72">
      <w:pPr>
        <w:pStyle w:val="a3"/>
        <w:ind w:left="360"/>
        <w:jc w:val="both"/>
        <w:rPr>
          <w:bCs/>
        </w:rPr>
      </w:pPr>
    </w:p>
    <w:p w:rsidR="00344310" w:rsidRPr="006E698E" w:rsidRDefault="009938C7" w:rsidP="00344310">
      <w:pPr>
        <w:numPr>
          <w:ilvl w:val="0"/>
          <w:numId w:val="2"/>
        </w:numPr>
        <w:ind w:left="567" w:hanging="567"/>
        <w:contextualSpacing/>
        <w:jc w:val="both"/>
        <w:rPr>
          <w:bCs/>
        </w:rPr>
      </w:pPr>
      <w:r w:rsidRPr="006E698E">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6E698E" w:rsidRDefault="00925AA3" w:rsidP="00925AA3">
      <w:pPr>
        <w:contextualSpacing/>
        <w:jc w:val="both"/>
        <w:rPr>
          <w:bCs/>
        </w:rPr>
      </w:pPr>
    </w:p>
    <w:p w:rsidR="00E75460" w:rsidRPr="006E698E" w:rsidRDefault="00E75460" w:rsidP="00E75460">
      <w:pPr>
        <w:tabs>
          <w:tab w:val="left" w:pos="567"/>
        </w:tabs>
        <w:ind w:left="567" w:hanging="567"/>
        <w:contextualSpacing/>
        <w:jc w:val="both"/>
        <w:rPr>
          <w:b/>
          <w:bCs/>
        </w:rPr>
      </w:pPr>
      <w:r w:rsidRPr="006E698E">
        <w:rPr>
          <w:b/>
          <w:bCs/>
        </w:rPr>
        <w:t>7.    ЗАУВАЖЕННЯ ТА ЗАПЕРЕЧЕННЯ СТОРІН ДО ПОДАННЯ ПРО ПОПЕРЕДНІ ВИСНОВКИ ЗА РЕЗУЛЬТАТАМИ РОЗГЛЯДУ СПРАВИ</w:t>
      </w:r>
    </w:p>
    <w:p w:rsidR="00E75460" w:rsidRPr="006E698E" w:rsidRDefault="00E75460" w:rsidP="00925AA3">
      <w:pPr>
        <w:contextualSpacing/>
        <w:jc w:val="both"/>
        <w:rPr>
          <w:bCs/>
        </w:rPr>
      </w:pPr>
    </w:p>
    <w:p w:rsidR="00E75460" w:rsidRPr="006E698E" w:rsidRDefault="00421203" w:rsidP="00E75460">
      <w:pPr>
        <w:numPr>
          <w:ilvl w:val="0"/>
          <w:numId w:val="2"/>
        </w:numPr>
        <w:ind w:left="567" w:hanging="567"/>
        <w:contextualSpacing/>
        <w:jc w:val="both"/>
        <w:rPr>
          <w:bCs/>
        </w:rPr>
      </w:pPr>
      <w:r w:rsidRPr="006E698E">
        <w:rPr>
          <w:bCs/>
        </w:rPr>
        <w:t xml:space="preserve">На подання з попередніми висновками від </w:t>
      </w:r>
      <w:r w:rsidRPr="006E698E">
        <w:t>20.0</w:t>
      </w:r>
      <w:r w:rsidR="00295C72" w:rsidRPr="006E698E">
        <w:t>7</w:t>
      </w:r>
      <w:r w:rsidRPr="006E698E">
        <w:t xml:space="preserve">.2021 № </w:t>
      </w:r>
      <w:r w:rsidRPr="006E698E">
        <w:rPr>
          <w:color w:val="000000" w:themeColor="text1"/>
        </w:rPr>
        <w:t>500-26.15/</w:t>
      </w:r>
      <w:r w:rsidR="00295C72" w:rsidRPr="006E698E">
        <w:rPr>
          <w:color w:val="000000" w:themeColor="text1"/>
        </w:rPr>
        <w:t>10</w:t>
      </w:r>
      <w:r w:rsidRPr="006E698E">
        <w:rPr>
          <w:color w:val="000000" w:themeColor="text1"/>
        </w:rPr>
        <w:t>-21-ДД</w:t>
      </w:r>
      <w:r w:rsidRPr="006E698E">
        <w:t>/</w:t>
      </w:r>
      <w:r w:rsidR="00295C72" w:rsidRPr="006E698E">
        <w:t>336</w:t>
      </w:r>
      <w:r w:rsidRPr="006E698E">
        <w:t>-спр</w:t>
      </w:r>
      <w:r w:rsidRPr="006E698E">
        <w:rPr>
          <w:bCs/>
        </w:rPr>
        <w:t xml:space="preserve">, надіслане листом від </w:t>
      </w:r>
      <w:r w:rsidRPr="006E698E">
        <w:t>20.0</w:t>
      </w:r>
      <w:r w:rsidR="00295C72" w:rsidRPr="006E698E">
        <w:t>7</w:t>
      </w:r>
      <w:r w:rsidRPr="006E698E">
        <w:t>.2021 № 500-29/05-</w:t>
      </w:r>
      <w:r w:rsidR="00295C72" w:rsidRPr="006E698E">
        <w:t>108</w:t>
      </w:r>
      <w:r w:rsidR="002C630A" w:rsidRPr="006E698E">
        <w:t>50</w:t>
      </w:r>
      <w:r w:rsidRPr="006E698E">
        <w:rPr>
          <w:bCs/>
        </w:rPr>
        <w:t xml:space="preserve">, </w:t>
      </w:r>
      <w:r w:rsidR="002C630A" w:rsidRPr="006E698E">
        <w:t>Виконавчий комітет Білоцерківської міської ради</w:t>
      </w:r>
      <w:r w:rsidRPr="006E698E">
        <w:rPr>
          <w:bCs/>
        </w:rPr>
        <w:t xml:space="preserve"> </w:t>
      </w:r>
      <w:r w:rsidRPr="006E698E">
        <w:t xml:space="preserve">листом від </w:t>
      </w:r>
      <w:r w:rsidR="004D05BF" w:rsidRPr="006E698E">
        <w:t>02</w:t>
      </w:r>
      <w:r w:rsidRPr="006E698E">
        <w:t>.</w:t>
      </w:r>
      <w:r w:rsidR="004D05BF" w:rsidRPr="006E698E">
        <w:t>08</w:t>
      </w:r>
      <w:r w:rsidRPr="006E698E">
        <w:t xml:space="preserve">.2021 № </w:t>
      </w:r>
      <w:r w:rsidR="004D05BF" w:rsidRPr="006E698E">
        <w:t>259901-14</w:t>
      </w:r>
      <w:r w:rsidR="00F51D6B" w:rsidRPr="006E698E">
        <w:t xml:space="preserve"> </w:t>
      </w:r>
      <w:r w:rsidRPr="006E698E">
        <w:t xml:space="preserve">(вх. № </w:t>
      </w:r>
      <w:r w:rsidR="00DC46C5" w:rsidRPr="006E698E">
        <w:t>5-05/10929</w:t>
      </w:r>
      <w:r w:rsidR="009923FB" w:rsidRPr="006E698E">
        <w:t xml:space="preserve"> </w:t>
      </w:r>
      <w:r w:rsidR="002C630A" w:rsidRPr="006E698E">
        <w:t xml:space="preserve">            </w:t>
      </w:r>
      <w:r w:rsidR="009923FB" w:rsidRPr="006E698E">
        <w:t xml:space="preserve">від </w:t>
      </w:r>
      <w:r w:rsidR="00DC46C5" w:rsidRPr="006E698E">
        <w:t>04</w:t>
      </w:r>
      <w:r w:rsidR="009923FB" w:rsidRPr="006E698E">
        <w:t>.</w:t>
      </w:r>
      <w:r w:rsidR="00DC46C5" w:rsidRPr="006E698E">
        <w:t>08</w:t>
      </w:r>
      <w:r w:rsidRPr="006E698E">
        <w:t>.2021)</w:t>
      </w:r>
      <w:r w:rsidRPr="006E698E">
        <w:rPr>
          <w:bCs/>
        </w:rPr>
        <w:t xml:space="preserve"> надав </w:t>
      </w:r>
      <w:r w:rsidR="000106B7">
        <w:rPr>
          <w:bCs/>
        </w:rPr>
        <w:t xml:space="preserve">такі </w:t>
      </w:r>
      <w:r w:rsidR="00E75460" w:rsidRPr="006E698E">
        <w:rPr>
          <w:bCs/>
        </w:rPr>
        <w:t xml:space="preserve">зауваження: </w:t>
      </w:r>
    </w:p>
    <w:p w:rsidR="009D73B2" w:rsidRPr="006E698E" w:rsidRDefault="009D73B2" w:rsidP="009D73B2">
      <w:pPr>
        <w:pStyle w:val="a3"/>
        <w:numPr>
          <w:ilvl w:val="0"/>
          <w:numId w:val="45"/>
        </w:numPr>
        <w:ind w:left="567" w:hanging="567"/>
        <w:jc w:val="both"/>
        <w:rPr>
          <w:bCs/>
          <w:i/>
        </w:rPr>
      </w:pPr>
      <w:r w:rsidRPr="006E698E">
        <w:rPr>
          <w:bCs/>
          <w:i/>
        </w:rPr>
        <w:lastRenderedPageBreak/>
        <w:t>цим рішенням повідомлена підтримка визнається допустимою для конкуренції державною допомогою, проте рішенням Комітету від 01.11.2018 № 604-р аналогічна підтримка була визнана недержавною допомогою.</w:t>
      </w:r>
    </w:p>
    <w:p w:rsidR="009D73B2" w:rsidRDefault="00B805B4" w:rsidP="009D73B2">
      <w:pPr>
        <w:pStyle w:val="a3"/>
        <w:ind w:left="567"/>
        <w:jc w:val="both"/>
      </w:pPr>
      <w:r w:rsidRPr="003A48BA">
        <w:rPr>
          <w:bCs/>
        </w:rPr>
        <w:t xml:space="preserve">Зазначені заперечення </w:t>
      </w:r>
      <w:r w:rsidRPr="003A48BA">
        <w:t>Виконавчого комітету Білоцерківської міської ради</w:t>
      </w:r>
      <w:r w:rsidR="000106B7">
        <w:t>,</w:t>
      </w:r>
      <w:r w:rsidRPr="003A48BA">
        <w:t xml:space="preserve"> надіслані </w:t>
      </w:r>
      <w:r w:rsidRPr="003A48BA">
        <w:rPr>
          <w:bCs/>
        </w:rPr>
        <w:t xml:space="preserve">листом від </w:t>
      </w:r>
      <w:r w:rsidRPr="003A48BA">
        <w:t xml:space="preserve">20.07.2021 № 500-29/05-10850 на </w:t>
      </w:r>
      <w:r w:rsidRPr="003A48BA">
        <w:rPr>
          <w:bCs/>
        </w:rPr>
        <w:t xml:space="preserve">подання з попередніми висновками                   від </w:t>
      </w:r>
      <w:r w:rsidRPr="003A48BA">
        <w:t xml:space="preserve">20.07.2021 № </w:t>
      </w:r>
      <w:r w:rsidRPr="003A48BA">
        <w:rPr>
          <w:color w:val="000000" w:themeColor="text1"/>
        </w:rPr>
        <w:t>500-26.15/10-21-ДД</w:t>
      </w:r>
      <w:r w:rsidRPr="003A48BA">
        <w:t>/33</w:t>
      </w:r>
      <w:r w:rsidR="00A36859">
        <w:t>6-спр</w:t>
      </w:r>
      <w:r w:rsidR="000106B7">
        <w:t>,</w:t>
      </w:r>
      <w:r w:rsidR="00A36859">
        <w:t xml:space="preserve"> не стосуються суті Справи</w:t>
      </w:r>
      <w:r w:rsidR="00A36859" w:rsidRPr="00A36859">
        <w:t xml:space="preserve">, тому </w:t>
      </w:r>
      <w:r w:rsidR="00A36859">
        <w:t>не можуть бути враховані та не беруться до уваги</w:t>
      </w:r>
      <w:r w:rsidR="00A36859" w:rsidRPr="00A36859">
        <w:t xml:space="preserve"> Ком</w:t>
      </w:r>
      <w:r w:rsidR="00A36859">
        <w:t>ітетом</w:t>
      </w:r>
      <w:r w:rsidR="000106B7">
        <w:t>;</w:t>
      </w:r>
    </w:p>
    <w:p w:rsidR="0078634A" w:rsidRPr="00A36859" w:rsidRDefault="0078634A" w:rsidP="009D73B2">
      <w:pPr>
        <w:pStyle w:val="a3"/>
        <w:ind w:left="567"/>
        <w:jc w:val="both"/>
      </w:pPr>
    </w:p>
    <w:p w:rsidR="00E75460" w:rsidRPr="006E698E" w:rsidRDefault="00EB333B" w:rsidP="00C02C3A">
      <w:pPr>
        <w:pStyle w:val="a3"/>
        <w:numPr>
          <w:ilvl w:val="0"/>
          <w:numId w:val="45"/>
        </w:numPr>
        <w:ind w:left="567" w:hanging="567"/>
        <w:jc w:val="both"/>
        <w:rPr>
          <w:bCs/>
          <w:i/>
        </w:rPr>
      </w:pPr>
      <w:r w:rsidRPr="006E698E">
        <w:rPr>
          <w:bCs/>
          <w:i/>
        </w:rPr>
        <w:t xml:space="preserve">Законом України </w:t>
      </w:r>
      <w:r w:rsidRPr="006E698E">
        <w:rPr>
          <w:bCs/>
          <w:i/>
          <w:lang w:eastAsia="ru-RU"/>
        </w:rPr>
        <w:t xml:space="preserve">«Про міський електричний транспорт» </w:t>
      </w:r>
      <w:r w:rsidRPr="006E698E">
        <w:rPr>
          <w:bCs/>
          <w:i/>
        </w:rPr>
        <w:t>не передбачено критеріїв  обрання перевізника шляхом проведення публічних закупівель із визначеною вартістю транспортної роботи.</w:t>
      </w:r>
    </w:p>
    <w:p w:rsidR="00E75460" w:rsidRPr="006E698E" w:rsidRDefault="005A7752" w:rsidP="00C02C3A">
      <w:pPr>
        <w:pStyle w:val="a3"/>
        <w:ind w:left="567"/>
        <w:jc w:val="both"/>
        <w:rPr>
          <w:bCs/>
        </w:rPr>
      </w:pPr>
      <w:r w:rsidRPr="006E698E">
        <w:rPr>
          <w:bCs/>
        </w:rPr>
        <w:t xml:space="preserve">Для відповідності державної підтримки четвертому критерію </w:t>
      </w:r>
      <w:r w:rsidRPr="006E698E">
        <w:t xml:space="preserve">Altmark суб’єкт господарювання, який надає послуги із перевезення пасажирів, повинен бути </w:t>
      </w:r>
      <w:r w:rsidRPr="006E698E">
        <w:rPr>
          <w:iCs/>
        </w:rPr>
        <w:t>обраний шляхом проведення процедури публічних закупівель. Якщо такої процедури не було дотримано</w:t>
      </w:r>
      <w:r w:rsidR="00AA4782">
        <w:rPr>
          <w:iCs/>
        </w:rPr>
        <w:t>,</w:t>
      </w:r>
      <w:r w:rsidRPr="006E698E">
        <w:rPr>
          <w:iCs/>
        </w:rPr>
        <w:t xml:space="preserve"> </w:t>
      </w:r>
      <w:r w:rsidR="00D72412" w:rsidRPr="006E698E">
        <w:rPr>
          <w:iCs/>
        </w:rPr>
        <w:t>н</w:t>
      </w:r>
      <w:r w:rsidRPr="006E698E">
        <w:rPr>
          <w:iCs/>
        </w:rPr>
        <w:t xml:space="preserve">адавач повинен надати </w:t>
      </w:r>
      <w:r w:rsidR="00DC3ADD" w:rsidRPr="006E698E">
        <w:rPr>
          <w:iCs/>
        </w:rPr>
        <w:t>К</w:t>
      </w:r>
      <w:r w:rsidRPr="006E698E">
        <w:rPr>
          <w:iCs/>
        </w:rPr>
        <w:t xml:space="preserve">омітету інформацію </w:t>
      </w:r>
      <w:r w:rsidRPr="006E698E">
        <w:t>щодо аналізу витрат, які є типовими для такого суб’єкта господарювання.</w:t>
      </w:r>
      <w:r w:rsidRPr="006E698E">
        <w:rPr>
          <w:bCs/>
        </w:rPr>
        <w:t xml:space="preserve"> Тому в</w:t>
      </w:r>
      <w:r w:rsidR="00EB333B" w:rsidRPr="006E698E">
        <w:rPr>
          <w:bCs/>
        </w:rPr>
        <w:t xml:space="preserve">казане </w:t>
      </w:r>
      <w:r w:rsidR="00660E4D" w:rsidRPr="006E698E">
        <w:rPr>
          <w:bCs/>
        </w:rPr>
        <w:t>зауваження тільки</w:t>
      </w:r>
      <w:r w:rsidR="00EB333B" w:rsidRPr="006E698E">
        <w:rPr>
          <w:bCs/>
        </w:rPr>
        <w:t xml:space="preserve"> підтверджує висновк</w:t>
      </w:r>
      <w:r w:rsidR="00660E4D" w:rsidRPr="006E698E">
        <w:rPr>
          <w:bCs/>
        </w:rPr>
        <w:t>и</w:t>
      </w:r>
      <w:r w:rsidR="00EB333B" w:rsidRPr="006E698E">
        <w:rPr>
          <w:bCs/>
        </w:rPr>
        <w:t xml:space="preserve"> Комітету</w:t>
      </w:r>
      <w:r w:rsidR="00660E4D" w:rsidRPr="006E698E">
        <w:rPr>
          <w:bCs/>
        </w:rPr>
        <w:t>, які</w:t>
      </w:r>
      <w:r w:rsidR="00EB333B" w:rsidRPr="006E698E">
        <w:rPr>
          <w:bCs/>
        </w:rPr>
        <w:t xml:space="preserve"> </w:t>
      </w:r>
      <w:r w:rsidR="00335787" w:rsidRPr="006E698E">
        <w:rPr>
          <w:bCs/>
        </w:rPr>
        <w:t>зазначен</w:t>
      </w:r>
      <w:r w:rsidR="00660E4D" w:rsidRPr="006E698E">
        <w:rPr>
          <w:bCs/>
        </w:rPr>
        <w:t>і</w:t>
      </w:r>
      <w:r w:rsidR="00335787" w:rsidRPr="006E698E">
        <w:rPr>
          <w:bCs/>
        </w:rPr>
        <w:t xml:space="preserve"> </w:t>
      </w:r>
      <w:r w:rsidR="00AA4782">
        <w:rPr>
          <w:bCs/>
        </w:rPr>
        <w:t>в</w:t>
      </w:r>
      <w:r w:rsidR="00AA4782" w:rsidRPr="006E698E">
        <w:rPr>
          <w:bCs/>
        </w:rPr>
        <w:t xml:space="preserve"> </w:t>
      </w:r>
      <w:r w:rsidR="00660E4D" w:rsidRPr="006E698E">
        <w:rPr>
          <w:bCs/>
        </w:rPr>
        <w:t xml:space="preserve">мотивувальній частині цього рішення щодо </w:t>
      </w:r>
      <w:r w:rsidR="002C4DE4" w:rsidRPr="006E698E">
        <w:rPr>
          <w:bCs/>
        </w:rPr>
        <w:t xml:space="preserve">необхідності отримання від </w:t>
      </w:r>
      <w:r w:rsidR="00702FDF">
        <w:rPr>
          <w:bCs/>
        </w:rPr>
        <w:t>Н</w:t>
      </w:r>
      <w:r w:rsidR="002C4DE4" w:rsidRPr="006E698E">
        <w:rPr>
          <w:bCs/>
        </w:rPr>
        <w:t>адавач</w:t>
      </w:r>
      <w:r w:rsidR="00D72412" w:rsidRPr="006E698E">
        <w:rPr>
          <w:bCs/>
        </w:rPr>
        <w:t>ів</w:t>
      </w:r>
      <w:r w:rsidR="00702FDF">
        <w:rPr>
          <w:bCs/>
        </w:rPr>
        <w:t xml:space="preserve"> 1 та 2</w:t>
      </w:r>
      <w:r w:rsidR="002C4DE4" w:rsidRPr="006E698E">
        <w:rPr>
          <w:bCs/>
        </w:rPr>
        <w:t xml:space="preserve"> </w:t>
      </w:r>
      <w:r w:rsidR="002C4DE4" w:rsidRPr="006E698E">
        <w:t>аналізу витрат, які є типовими для цього суб’єкта господарювання</w:t>
      </w:r>
      <w:r w:rsidR="00DC3ADD" w:rsidRPr="006E698E">
        <w:t>,</w:t>
      </w:r>
      <w:r w:rsidR="002C4DE4" w:rsidRPr="006E698E">
        <w:t xml:space="preserve"> оскільки національним законодавством не передбачено проведення конкурсу з перевезення пасажирів електричним транспортом на маршрутах загального користування</w:t>
      </w:r>
      <w:r w:rsidRPr="006E698E">
        <w:t>;</w:t>
      </w:r>
    </w:p>
    <w:p w:rsidR="00E75460" w:rsidRPr="006E698E" w:rsidRDefault="00E75460" w:rsidP="00C02C3A">
      <w:pPr>
        <w:pStyle w:val="a3"/>
        <w:ind w:left="567" w:hanging="567"/>
        <w:jc w:val="both"/>
        <w:rPr>
          <w:bCs/>
        </w:rPr>
      </w:pPr>
    </w:p>
    <w:p w:rsidR="00E75460" w:rsidRPr="006E698E" w:rsidRDefault="000456E6" w:rsidP="00C02C3A">
      <w:pPr>
        <w:pStyle w:val="a3"/>
        <w:numPr>
          <w:ilvl w:val="0"/>
          <w:numId w:val="45"/>
        </w:numPr>
        <w:ind w:left="567" w:hanging="567"/>
        <w:jc w:val="both"/>
        <w:rPr>
          <w:bCs/>
          <w:i/>
        </w:rPr>
      </w:pPr>
      <w:r w:rsidRPr="006E698E">
        <w:rPr>
          <w:i/>
        </w:rPr>
        <w:t>КП «Тролейбусне управління»</w:t>
      </w:r>
      <w:r w:rsidR="003E6F08">
        <w:rPr>
          <w:i/>
        </w:rPr>
        <w:t>,</w:t>
      </w:r>
      <w:r w:rsidRPr="006E698E">
        <w:rPr>
          <w:i/>
        </w:rPr>
        <w:t xml:space="preserve"> отримавши лише компенсацію своїх в</w:t>
      </w:r>
      <w:r w:rsidR="00163798" w:rsidRPr="006E698E">
        <w:rPr>
          <w:i/>
        </w:rPr>
        <w:t>и</w:t>
      </w:r>
      <w:r w:rsidRPr="006E698E">
        <w:rPr>
          <w:i/>
        </w:rPr>
        <w:t>трат</w:t>
      </w:r>
      <w:r w:rsidR="003E6F08">
        <w:rPr>
          <w:i/>
        </w:rPr>
        <w:t>,</w:t>
      </w:r>
      <w:r w:rsidRPr="006E698E">
        <w:rPr>
          <w:i/>
        </w:rPr>
        <w:t xml:space="preserve"> не отримає фінансових переваг і не опиниться в біль</w:t>
      </w:r>
      <w:r w:rsidR="00B13D94" w:rsidRPr="006E698E">
        <w:rPr>
          <w:i/>
        </w:rPr>
        <w:t>ш</w:t>
      </w:r>
      <w:r w:rsidRPr="006E698E">
        <w:rPr>
          <w:i/>
        </w:rPr>
        <w:t xml:space="preserve"> вигідному конкурентному становищі порівнян</w:t>
      </w:r>
      <w:r w:rsidR="003E6F08">
        <w:rPr>
          <w:i/>
        </w:rPr>
        <w:t>о</w:t>
      </w:r>
      <w:r w:rsidRPr="006E698E">
        <w:rPr>
          <w:i/>
        </w:rPr>
        <w:t xml:space="preserve"> з іншими перевізни</w:t>
      </w:r>
      <w:r w:rsidR="006F7E29" w:rsidRPr="006E698E">
        <w:rPr>
          <w:i/>
        </w:rPr>
        <w:t>ками</w:t>
      </w:r>
      <w:r w:rsidR="00801DDE">
        <w:rPr>
          <w:i/>
        </w:rPr>
        <w:t>,</w:t>
      </w:r>
      <w:r w:rsidR="006F7E29" w:rsidRPr="006E698E">
        <w:rPr>
          <w:i/>
        </w:rPr>
        <w:t xml:space="preserve"> тому відповідно до пункту 2 частини другої статті 3 Закону на повідомлену підтримку </w:t>
      </w:r>
      <w:r w:rsidR="00B13D94" w:rsidRPr="006E698E">
        <w:rPr>
          <w:i/>
        </w:rPr>
        <w:t xml:space="preserve">не поширюється дія Закону </w:t>
      </w:r>
      <w:r w:rsidR="00801DDE">
        <w:rPr>
          <w:i/>
          <w:shd w:val="clear" w:color="auto" w:fill="FFFFFF"/>
        </w:rPr>
        <w:t>в</w:t>
      </w:r>
      <w:r w:rsidR="00801DDE" w:rsidRPr="006E698E">
        <w:rPr>
          <w:i/>
          <w:shd w:val="clear" w:color="auto" w:fill="FFFFFF"/>
        </w:rPr>
        <w:t xml:space="preserve"> </w:t>
      </w:r>
      <w:r w:rsidR="00B13D94" w:rsidRPr="006E698E">
        <w:rPr>
          <w:i/>
          <w:shd w:val="clear" w:color="auto" w:fill="FFFFFF"/>
        </w:rPr>
        <w:t>частині компенсації обґрунтованих</w:t>
      </w:r>
      <w:r w:rsidR="00E75460" w:rsidRPr="006E698E">
        <w:rPr>
          <w:i/>
          <w:shd w:val="clear" w:color="auto" w:fill="FFFFFF"/>
        </w:rPr>
        <w:t xml:space="preserve"> витрат на надання таких послуг.</w:t>
      </w:r>
    </w:p>
    <w:p w:rsidR="00E6351B" w:rsidRPr="006E698E" w:rsidRDefault="007679E4" w:rsidP="007679E4">
      <w:pPr>
        <w:pStyle w:val="a3"/>
        <w:ind w:left="567"/>
        <w:jc w:val="both"/>
      </w:pPr>
      <w:r w:rsidRPr="006E698E">
        <w:t>З метою забезпечення о</w:t>
      </w:r>
      <w:r w:rsidR="007A6EEF" w:rsidRPr="006E698E">
        <w:t>бґрунтован</w:t>
      </w:r>
      <w:r w:rsidRPr="006E698E">
        <w:t>ості</w:t>
      </w:r>
      <w:r w:rsidR="00E56D42" w:rsidRPr="006E698E">
        <w:t xml:space="preserve"> компенсації</w:t>
      </w:r>
      <w:r w:rsidR="007A6EEF" w:rsidRPr="006E698E">
        <w:t xml:space="preserve"> на надання ПЗЕІ</w:t>
      </w:r>
      <w:r w:rsidR="00E56D42" w:rsidRPr="006E698E">
        <w:t xml:space="preserve"> </w:t>
      </w:r>
      <w:r w:rsidRPr="006E698E">
        <w:t>Надавач</w:t>
      </w:r>
      <w:r w:rsidR="00E6351B" w:rsidRPr="006E698E">
        <w:t>і</w:t>
      </w:r>
      <w:r w:rsidRPr="006E698E">
        <w:t xml:space="preserve"> </w:t>
      </w:r>
      <w:r w:rsidR="005D2E33">
        <w:t xml:space="preserve">1 та 2 </w:t>
      </w:r>
      <w:r w:rsidRPr="006E698E">
        <w:t>повин</w:t>
      </w:r>
      <w:r w:rsidR="00E6351B" w:rsidRPr="006E698E">
        <w:t>ні</w:t>
      </w:r>
      <w:r w:rsidRPr="006E698E">
        <w:t xml:space="preserve"> розробити та затвердити Методику розрахунку компенсації на надання ПЗЕІ, яка відповідає вимогам Регламенту, та здійснити обчислення суми, яка необхідна для покриття чистих витрат (чистої фінансової різниці) між понесеними при наданні ПЗЕІ витратами та доходами КП </w:t>
      </w:r>
      <w:r w:rsidR="003C6189" w:rsidRPr="006E698E">
        <w:t xml:space="preserve">БЦМР </w:t>
      </w:r>
      <w:r w:rsidRPr="006E698E">
        <w:t>«Тролейбусне управління».</w:t>
      </w:r>
    </w:p>
    <w:p w:rsidR="00163798" w:rsidRPr="006E698E" w:rsidRDefault="00E6351B" w:rsidP="007679E4">
      <w:pPr>
        <w:pStyle w:val="a3"/>
        <w:ind w:left="567"/>
        <w:jc w:val="both"/>
      </w:pPr>
      <w:r w:rsidRPr="006E698E">
        <w:rPr>
          <w:bCs/>
        </w:rPr>
        <w:t xml:space="preserve">Під час розгляду Справи Надавачі </w:t>
      </w:r>
      <w:r w:rsidR="005D2E33">
        <w:rPr>
          <w:bCs/>
        </w:rPr>
        <w:t xml:space="preserve">1 та 2 </w:t>
      </w:r>
      <w:r w:rsidRPr="006E698E">
        <w:rPr>
          <w:bCs/>
        </w:rPr>
        <w:t xml:space="preserve">не </w:t>
      </w:r>
      <w:r w:rsidRPr="006E698E">
        <w:t xml:space="preserve">надали інформації та підтвердних документів, що компенсація </w:t>
      </w:r>
      <w:r w:rsidRPr="006E698E">
        <w:rPr>
          <w:color w:val="000000" w:themeColor="text1"/>
        </w:rPr>
        <w:t>КП</w:t>
      </w:r>
      <w:r w:rsidRPr="006E698E">
        <w:t xml:space="preserve"> </w:t>
      </w:r>
      <w:r w:rsidR="003C6189" w:rsidRPr="006E698E">
        <w:t xml:space="preserve">БЦМР </w:t>
      </w:r>
      <w:r w:rsidRPr="006E698E">
        <w:t xml:space="preserve">«Тролейбусне управління»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а тому зазначена компенсація </w:t>
      </w:r>
      <w:r w:rsidR="00D95FF7" w:rsidRPr="006E698E">
        <w:t>встановлю</w:t>
      </w:r>
      <w:r w:rsidRPr="006E698E">
        <w:t>є</w:t>
      </w:r>
      <w:r w:rsidR="00D95FF7" w:rsidRPr="006E698E">
        <w:t xml:space="preserve"> для</w:t>
      </w:r>
      <w:r w:rsidRPr="006E698E">
        <w:t xml:space="preserve"> нього </w:t>
      </w:r>
      <w:r w:rsidR="00183444" w:rsidRPr="006E698E">
        <w:rPr>
          <w:bCs/>
          <w:color w:val="000000" w:themeColor="text1"/>
        </w:rPr>
        <w:t>перевагу серед інших суб’єктів господарювання, які працюють на ринку надання послуг із перевезень пасажирів, що</w:t>
      </w:r>
      <w:r w:rsidR="005D2E33">
        <w:rPr>
          <w:bCs/>
          <w:color w:val="000000" w:themeColor="text1"/>
        </w:rPr>
        <w:t>,</w:t>
      </w:r>
      <w:r w:rsidR="00183444" w:rsidRPr="006E698E">
        <w:rPr>
          <w:bCs/>
          <w:color w:val="000000" w:themeColor="text1"/>
        </w:rPr>
        <w:t xml:space="preserve"> </w:t>
      </w:r>
      <w:r w:rsidR="005D2E33">
        <w:rPr>
          <w:bCs/>
          <w:color w:val="000000" w:themeColor="text1"/>
        </w:rPr>
        <w:t>у</w:t>
      </w:r>
      <w:r w:rsidR="005D2E33" w:rsidRPr="006E698E">
        <w:rPr>
          <w:bCs/>
          <w:color w:val="000000" w:themeColor="text1"/>
        </w:rPr>
        <w:t xml:space="preserve"> </w:t>
      </w:r>
      <w:r w:rsidR="00183444" w:rsidRPr="006E698E">
        <w:rPr>
          <w:bCs/>
          <w:color w:val="000000" w:themeColor="text1"/>
        </w:rPr>
        <w:t>свою чергу</w:t>
      </w:r>
      <w:r w:rsidR="005D2E33">
        <w:rPr>
          <w:bCs/>
          <w:color w:val="000000" w:themeColor="text1"/>
        </w:rPr>
        <w:t>,</w:t>
      </w:r>
      <w:r w:rsidR="00183444" w:rsidRPr="006E698E">
        <w:rPr>
          <w:bCs/>
          <w:color w:val="000000" w:themeColor="text1"/>
        </w:rPr>
        <w:t xml:space="preserve"> спотворю</w:t>
      </w:r>
      <w:r w:rsidRPr="006E698E">
        <w:rPr>
          <w:bCs/>
          <w:color w:val="000000" w:themeColor="text1"/>
        </w:rPr>
        <w:t xml:space="preserve">є </w:t>
      </w:r>
      <w:r w:rsidR="00183444" w:rsidRPr="006E698E">
        <w:rPr>
          <w:bCs/>
          <w:color w:val="000000" w:themeColor="text1"/>
        </w:rPr>
        <w:t>економічну конкуренцію</w:t>
      </w:r>
      <w:r w:rsidR="002C630A" w:rsidRPr="006E698E">
        <w:t>;</w:t>
      </w:r>
    </w:p>
    <w:p w:rsidR="00A202A8" w:rsidRPr="006E698E" w:rsidRDefault="00A202A8" w:rsidP="00C02C3A">
      <w:pPr>
        <w:pStyle w:val="a3"/>
        <w:ind w:left="567" w:hanging="567"/>
        <w:jc w:val="both"/>
        <w:rPr>
          <w:i/>
        </w:rPr>
      </w:pPr>
    </w:p>
    <w:p w:rsidR="00A202A8" w:rsidRPr="006E698E" w:rsidRDefault="005D2E33" w:rsidP="00C02C3A">
      <w:pPr>
        <w:pStyle w:val="a3"/>
        <w:numPr>
          <w:ilvl w:val="0"/>
          <w:numId w:val="45"/>
        </w:numPr>
        <w:ind w:left="567" w:hanging="567"/>
        <w:jc w:val="both"/>
        <w:rPr>
          <w:bCs/>
          <w:i/>
        </w:rPr>
      </w:pPr>
      <w:r>
        <w:rPr>
          <w:bCs/>
          <w:i/>
        </w:rPr>
        <w:t>у</w:t>
      </w:r>
      <w:r w:rsidRPr="006E698E">
        <w:rPr>
          <w:bCs/>
          <w:i/>
        </w:rPr>
        <w:t xml:space="preserve"> </w:t>
      </w:r>
      <w:r w:rsidR="00941E64" w:rsidRPr="006E698E">
        <w:rPr>
          <w:bCs/>
          <w:i/>
        </w:rPr>
        <w:t>Повідомленні було надано обґрунтування компенсації витрат та підтвер</w:t>
      </w:r>
      <w:r w:rsidR="00E3390E">
        <w:rPr>
          <w:bCs/>
          <w:i/>
        </w:rPr>
        <w:t>дн</w:t>
      </w:r>
      <w:r w:rsidR="00941E64" w:rsidRPr="006E698E">
        <w:rPr>
          <w:bCs/>
          <w:i/>
        </w:rPr>
        <w:t xml:space="preserve">ий документ з інформацією доходів і витрат </w:t>
      </w:r>
      <w:r w:rsidR="00E3390E">
        <w:rPr>
          <w:bCs/>
          <w:i/>
        </w:rPr>
        <w:t>П</w:t>
      </w:r>
      <w:r w:rsidR="00941E64" w:rsidRPr="006E698E">
        <w:rPr>
          <w:bCs/>
          <w:i/>
        </w:rPr>
        <w:t xml:space="preserve">ідприємства за 9 місяців 2020 року, за якою можна проаналізувати фактичні витрати </w:t>
      </w:r>
      <w:r w:rsidR="00E3390E">
        <w:rPr>
          <w:bCs/>
          <w:i/>
        </w:rPr>
        <w:t>П</w:t>
      </w:r>
      <w:r w:rsidR="00941E64" w:rsidRPr="006E698E">
        <w:rPr>
          <w:bCs/>
          <w:i/>
        </w:rPr>
        <w:t>ідприємства у 2020 році.</w:t>
      </w:r>
    </w:p>
    <w:p w:rsidR="00941E64" w:rsidRPr="006E698E" w:rsidRDefault="009063D5" w:rsidP="00C02C3A">
      <w:pPr>
        <w:pStyle w:val="a3"/>
        <w:ind w:left="567"/>
        <w:jc w:val="both"/>
      </w:pPr>
      <w:r w:rsidRPr="006E698E">
        <w:t>В</w:t>
      </w:r>
      <w:r w:rsidR="00941E64" w:rsidRPr="006E698E">
        <w:t>казане зауваження не може бути взят</w:t>
      </w:r>
      <w:r w:rsidR="00E3390E">
        <w:t>о</w:t>
      </w:r>
      <w:r w:rsidR="00941E64" w:rsidRPr="006E698E">
        <w:t xml:space="preserve"> до уваги, оскільки</w:t>
      </w:r>
      <w:r w:rsidR="00715484" w:rsidRPr="006E698E">
        <w:t xml:space="preserve"> </w:t>
      </w:r>
      <w:r w:rsidR="00F30892" w:rsidRPr="006E698E">
        <w:t>Надавач</w:t>
      </w:r>
      <w:r w:rsidR="003C6189" w:rsidRPr="006E698E">
        <w:t>і</w:t>
      </w:r>
      <w:r w:rsidR="00F30892" w:rsidRPr="006E698E">
        <w:t xml:space="preserve"> </w:t>
      </w:r>
      <w:r w:rsidR="00E3390E">
        <w:t xml:space="preserve">1 та 2 </w:t>
      </w:r>
      <w:r w:rsidR="00F30892" w:rsidRPr="006E698E">
        <w:t>не</w:t>
      </w:r>
      <w:r w:rsidR="00715484" w:rsidRPr="006E698E">
        <w:t xml:space="preserve"> нада</w:t>
      </w:r>
      <w:r w:rsidR="003C6189" w:rsidRPr="006E698E">
        <w:t>ли</w:t>
      </w:r>
      <w:r w:rsidR="00715484" w:rsidRPr="006E698E">
        <w:t xml:space="preserve"> </w:t>
      </w:r>
      <w:r w:rsidR="00F30892" w:rsidRPr="006E698E">
        <w:t>інформації щодо</w:t>
      </w:r>
      <w:r w:rsidR="00715484" w:rsidRPr="006E698E">
        <w:t xml:space="preserve"> витрат</w:t>
      </w:r>
      <w:r w:rsidR="00F30892" w:rsidRPr="006E698E">
        <w:t>, які</w:t>
      </w:r>
      <w:r w:rsidR="00715484" w:rsidRPr="006E698E">
        <w:t xml:space="preserve"> є типовими для суб’єкта господарювання</w:t>
      </w:r>
      <w:r w:rsidRPr="006E698E">
        <w:t xml:space="preserve">, який зміг би надавати такі послуги, з урахуванням відповідного доходу та обґрунтованого прибутку </w:t>
      </w:r>
      <w:r w:rsidR="00A020F5" w:rsidRPr="006E698E">
        <w:t xml:space="preserve">на термін надання </w:t>
      </w:r>
      <w:r w:rsidRPr="006E698E">
        <w:t xml:space="preserve">повідомленої </w:t>
      </w:r>
      <w:r w:rsidR="00A020F5" w:rsidRPr="006E698E">
        <w:t>державної допомоги, а саме з 2021 по 202</w:t>
      </w:r>
      <w:r w:rsidR="00F30892" w:rsidRPr="006E698E">
        <w:t>5</w:t>
      </w:r>
      <w:r w:rsidRPr="006E698E">
        <w:t xml:space="preserve"> р</w:t>
      </w:r>
      <w:r w:rsidR="00D72412" w:rsidRPr="006E698E">
        <w:t>і</w:t>
      </w:r>
      <w:r w:rsidRPr="006E698E">
        <w:t>к</w:t>
      </w:r>
      <w:r w:rsidR="00715484" w:rsidRPr="006E698E">
        <w:t>.</w:t>
      </w:r>
    </w:p>
    <w:p w:rsidR="00421203" w:rsidRPr="006E698E" w:rsidRDefault="00421203" w:rsidP="00421203">
      <w:pPr>
        <w:ind w:left="567"/>
        <w:contextualSpacing/>
        <w:jc w:val="both"/>
      </w:pPr>
    </w:p>
    <w:p w:rsidR="00421203" w:rsidRPr="006E698E" w:rsidRDefault="00FB7D3A" w:rsidP="009D73B2">
      <w:pPr>
        <w:pStyle w:val="a3"/>
        <w:numPr>
          <w:ilvl w:val="0"/>
          <w:numId w:val="2"/>
        </w:numPr>
        <w:ind w:left="567" w:hanging="567"/>
        <w:jc w:val="both"/>
      </w:pPr>
      <w:r w:rsidRPr="006E698E">
        <w:t>Отже</w:t>
      </w:r>
      <w:r w:rsidR="00421203" w:rsidRPr="006E698E">
        <w:t xml:space="preserve">, зауваження та заперечення </w:t>
      </w:r>
      <w:r w:rsidR="003C6189" w:rsidRPr="006E698E">
        <w:t>Виконавчого комітету Білоцерківської міської ради на</w:t>
      </w:r>
      <w:r w:rsidR="00421203" w:rsidRPr="006E698E">
        <w:t xml:space="preserve"> подання з попередніми висновками </w:t>
      </w:r>
      <w:r w:rsidR="003C6189" w:rsidRPr="006E698E">
        <w:t xml:space="preserve">від 20.07.2021 № 500-26.15/10-21-ДД/336-спр </w:t>
      </w:r>
      <w:r w:rsidRPr="006E698E">
        <w:t>спростовані</w:t>
      </w:r>
      <w:r w:rsidR="00421203" w:rsidRPr="006E698E">
        <w:t>.</w:t>
      </w:r>
    </w:p>
    <w:p w:rsidR="003969F8" w:rsidRPr="006E698E" w:rsidRDefault="003969F8" w:rsidP="003969F8">
      <w:pPr>
        <w:pStyle w:val="a3"/>
        <w:numPr>
          <w:ilvl w:val="0"/>
          <w:numId w:val="2"/>
        </w:numPr>
        <w:ind w:left="567" w:hanging="567"/>
        <w:jc w:val="both"/>
      </w:pPr>
      <w:r w:rsidRPr="006E698E">
        <w:lastRenderedPageBreak/>
        <w:t xml:space="preserve">Управління соціального захисту населення Білоцерківської міської ради не надало Комітету зауважень та заперечень на </w:t>
      </w:r>
      <w:r w:rsidRPr="006E698E">
        <w:rPr>
          <w:bCs/>
        </w:rPr>
        <w:t xml:space="preserve">подання з попередніми висновками від </w:t>
      </w:r>
      <w:r w:rsidRPr="006E698E">
        <w:t>20.07.2021 №</w:t>
      </w:r>
      <w:r w:rsidR="00FE42D5">
        <w:t> </w:t>
      </w:r>
      <w:r w:rsidRPr="006E698E">
        <w:rPr>
          <w:color w:val="000000" w:themeColor="text1"/>
        </w:rPr>
        <w:t>500-26.15/10-21-ДД</w:t>
      </w:r>
      <w:r w:rsidRPr="006E698E">
        <w:t xml:space="preserve">/336-спр, надіслане </w:t>
      </w:r>
      <w:r w:rsidRPr="006E698E">
        <w:rPr>
          <w:bCs/>
        </w:rPr>
        <w:t xml:space="preserve">листом Комітету від </w:t>
      </w:r>
      <w:r w:rsidRPr="006E698E">
        <w:t xml:space="preserve">20.07.2021 </w:t>
      </w:r>
      <w:r w:rsidR="00F61781" w:rsidRPr="006E698E">
        <w:t xml:space="preserve">                               </w:t>
      </w:r>
      <w:r w:rsidRPr="006E698E">
        <w:t>№ 500-29/05-10847</w:t>
      </w:r>
      <w:r w:rsidR="009D73B2" w:rsidRPr="006E698E">
        <w:t>, який відповідно до рекомендованого повідомлення про вручення поштового відправлення № 03035 1402438 6 Надавач 2 отримав 23.07.2021.</w:t>
      </w:r>
    </w:p>
    <w:p w:rsidR="00AC1AC0" w:rsidRPr="006E698E" w:rsidRDefault="00AC1AC0" w:rsidP="0010609F">
      <w:pPr>
        <w:contextualSpacing/>
        <w:jc w:val="both"/>
        <w:rPr>
          <w:bCs/>
        </w:rPr>
      </w:pPr>
    </w:p>
    <w:p w:rsidR="00582173" w:rsidRPr="006E698E" w:rsidRDefault="00582173" w:rsidP="009D73B2">
      <w:pPr>
        <w:pStyle w:val="rvps2"/>
        <w:spacing w:before="0" w:beforeAutospacing="0" w:after="0" w:afterAutospacing="0"/>
        <w:ind w:firstLine="567"/>
        <w:jc w:val="both"/>
        <w:rPr>
          <w:lang w:val="uk-UA" w:eastAsia="uk-UA"/>
        </w:rPr>
      </w:pPr>
      <w:r w:rsidRPr="006E698E">
        <w:rPr>
          <w:lang w:val="uk-UA" w:eastAsia="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3C6189" w:rsidRPr="006E698E">
        <w:rPr>
          <w:lang w:val="uk-UA" w:eastAsia="uk-UA"/>
        </w:rPr>
        <w:t>1</w:t>
      </w:r>
      <w:r w:rsidRPr="006E698E">
        <w:rPr>
          <w:lang w:val="uk-UA" w:eastAsia="uk-UA"/>
        </w:rPr>
        <w:t xml:space="preserve"> розділу I</w:t>
      </w:r>
      <w:r w:rsidR="003C6189" w:rsidRPr="006E698E">
        <w:rPr>
          <w:lang w:val="uk-UA" w:eastAsia="uk-UA"/>
        </w:rPr>
        <w:t>Х</w:t>
      </w:r>
      <w:r w:rsidRPr="006E698E">
        <w:rPr>
          <w:lang w:val="uk-UA" w:eastAsia="uk-UA"/>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00984603" w:rsidRPr="006E698E">
        <w:rPr>
          <w:lang w:val="uk-UA" w:eastAsia="uk-UA"/>
        </w:rPr>
        <w:t xml:space="preserve">                  </w:t>
      </w:r>
      <w:r w:rsidRPr="006E698E">
        <w:rPr>
          <w:lang w:val="uk-UA" w:eastAsia="uk-UA"/>
        </w:rPr>
        <w:t>06 травня 2016 року за № 686/28816, Антимонопольний комітет України</w:t>
      </w:r>
    </w:p>
    <w:p w:rsidR="00BE1F00" w:rsidRPr="006E698E" w:rsidRDefault="00BE1F00" w:rsidP="006B7A48">
      <w:pPr>
        <w:ind w:left="284" w:hanging="284"/>
        <w:jc w:val="center"/>
        <w:rPr>
          <w:b/>
        </w:rPr>
      </w:pPr>
    </w:p>
    <w:p w:rsidR="00344310" w:rsidRPr="006E698E" w:rsidRDefault="00582173" w:rsidP="00924846">
      <w:pPr>
        <w:ind w:left="284" w:hanging="284"/>
        <w:jc w:val="center"/>
        <w:rPr>
          <w:b/>
        </w:rPr>
      </w:pPr>
      <w:r w:rsidRPr="006E698E">
        <w:rPr>
          <w:b/>
        </w:rPr>
        <w:t>ПОСТАНОВИВ:</w:t>
      </w:r>
    </w:p>
    <w:p w:rsidR="00984603" w:rsidRPr="006E698E" w:rsidRDefault="00984603" w:rsidP="00924846">
      <w:pPr>
        <w:ind w:left="284" w:hanging="284"/>
        <w:jc w:val="center"/>
        <w:rPr>
          <w:b/>
          <w:highlight w:val="yellow"/>
        </w:rPr>
      </w:pPr>
    </w:p>
    <w:p w:rsidR="00A020F5" w:rsidRPr="006E698E" w:rsidRDefault="003C4E21" w:rsidP="00A020F5">
      <w:pPr>
        <w:pStyle w:val="rvps2"/>
        <w:numPr>
          <w:ilvl w:val="0"/>
          <w:numId w:val="10"/>
        </w:numPr>
        <w:tabs>
          <w:tab w:val="left" w:pos="993"/>
        </w:tabs>
        <w:spacing w:before="0" w:beforeAutospacing="0" w:after="0" w:afterAutospacing="0"/>
        <w:ind w:left="0" w:firstLine="709"/>
        <w:jc w:val="both"/>
        <w:rPr>
          <w:b/>
          <w:lang w:val="uk-UA" w:eastAsia="uk-UA"/>
        </w:rPr>
      </w:pPr>
      <w:r w:rsidRPr="006E698E">
        <w:rPr>
          <w:lang w:val="uk-UA" w:eastAsia="uk-UA"/>
        </w:rPr>
        <w:t xml:space="preserve">Визнати, що підтримка у формі субсидій, поточних трансфертів та капітальних трансфертів для </w:t>
      </w:r>
      <w:r w:rsidRPr="006E698E">
        <w:rPr>
          <w:lang w:val="uk-UA"/>
        </w:rPr>
        <w:t xml:space="preserve">покращення якості надання послуг </w:t>
      </w:r>
      <w:r w:rsidR="000D3ADB">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електротранспорту </w:t>
      </w:r>
      <w:r w:rsidR="000D3ADB">
        <w:rPr>
          <w:lang w:val="uk-UA" w:eastAsia="uk-UA"/>
        </w:rPr>
        <w:t>в</w:t>
      </w:r>
      <w:r w:rsidR="000D3ADB" w:rsidRPr="006E698E">
        <w:rPr>
          <w:lang w:val="uk-UA" w:eastAsia="uk-UA"/>
        </w:rPr>
        <w:t xml:space="preserve"> </w:t>
      </w:r>
      <w:r w:rsidRPr="006E698E">
        <w:rPr>
          <w:lang w:val="uk-UA" w:eastAsia="uk-UA"/>
        </w:rPr>
        <w:t>міських пасажирських перевезеннях</w:t>
      </w:r>
      <w:r w:rsidRPr="006E698E">
        <w:rPr>
          <w:rFonts w:eastAsiaTheme="minorHAnsi"/>
          <w:lang w:val="uk-UA"/>
        </w:rPr>
        <w:t>,</w:t>
      </w:r>
      <w:r w:rsidRPr="006E698E">
        <w:rPr>
          <w:lang w:val="uk-UA" w:eastAsia="uk-UA"/>
        </w:rPr>
        <w:t xml:space="preserve"> що виділяється на підставі </w:t>
      </w:r>
      <w:r w:rsidRPr="006E698E">
        <w:rPr>
          <w:color w:val="000000" w:themeColor="text1"/>
          <w:lang w:val="uk-UA"/>
        </w:rPr>
        <w:t>рішення Білоцерківської міської ради від 24.12.2020 № 58-05-VIII «</w:t>
      </w:r>
      <w:r w:rsidRPr="006E698E">
        <w:rPr>
          <w:color w:val="000000" w:themeColor="text1"/>
          <w:lang w:val="uk-UA" w:eastAsia="uk-UA"/>
        </w:rPr>
        <w:t xml:space="preserve">Про затвердження Програми надання окремих видів пільг на 2021-2023 роки» </w:t>
      </w:r>
      <w:r w:rsidRPr="006E698E">
        <w:rPr>
          <w:lang w:val="uk-UA" w:eastAsia="uk-UA"/>
        </w:rPr>
        <w:t>комунальному підприємству Білоцерківської міської ради «Тролейбусне управління» на період з 01.01.2021 по 31.12.2023</w:t>
      </w:r>
      <w:r w:rsidRPr="006E698E">
        <w:rPr>
          <w:color w:val="000000" w:themeColor="text1"/>
          <w:lang w:val="uk-UA" w:eastAsia="uk-UA"/>
        </w:rPr>
        <w:t>,</w:t>
      </w:r>
      <w:r w:rsidRPr="006E698E">
        <w:rPr>
          <w:b/>
          <w:lang w:val="uk-UA"/>
        </w:rPr>
        <w:t xml:space="preserve"> </w:t>
      </w:r>
      <w:r w:rsidR="0079254C" w:rsidRPr="006E698E">
        <w:rPr>
          <w:lang w:val="uk-UA"/>
        </w:rPr>
        <w:t>проєктів рішень виконавчого комітету Білоцерківської міської ради «Про затвердження висновку комісії по здійсненню контролю за фінансово-господарською діяльністю підприємств комунальної власності Білоцерківської міської територіальної громади на 2021 – 2025 роки»</w:t>
      </w:r>
      <w:r w:rsidRPr="006E698E">
        <w:rPr>
          <w:lang w:val="uk-UA" w:eastAsia="uk-UA"/>
        </w:rPr>
        <w:t xml:space="preserve"> та</w:t>
      </w:r>
      <w:r w:rsidRPr="006E698E">
        <w:rPr>
          <w:b/>
          <w:lang w:val="uk-UA"/>
        </w:rPr>
        <w:t xml:space="preserve"> </w:t>
      </w:r>
      <w:r w:rsidRPr="006E698E">
        <w:rPr>
          <w:lang w:val="uk-UA"/>
        </w:rPr>
        <w:t xml:space="preserve">рішення Білоцерківської міської ради від 15.05.2020 № 5239-96-VII «Про затвердження Програми розвитку електротранспорту міста Білої Церкви на 2021 </w:t>
      </w:r>
      <w:r w:rsidRPr="006E698E">
        <w:rPr>
          <w:lang w:val="uk-UA" w:eastAsia="uk-UA"/>
        </w:rPr>
        <w:t xml:space="preserve">– </w:t>
      </w:r>
      <w:r w:rsidRPr="006E698E">
        <w:rPr>
          <w:lang w:val="uk-UA"/>
        </w:rPr>
        <w:t xml:space="preserve">2025 роки» </w:t>
      </w:r>
      <w:r w:rsidRPr="006E698E">
        <w:rPr>
          <w:lang w:val="uk-UA" w:eastAsia="uk-UA"/>
        </w:rPr>
        <w:t xml:space="preserve">комунальному підприємству Білоцерківської міської ради «Тролейбусне управління» на період з 01.01.2021 по 31.12.2025 у сумі 323 275 500 (триста двадцять три мільйони двісті сімдесят п’ять тисяч п’ятсот) гривень, </w:t>
      </w:r>
      <w:r w:rsidRPr="006E698E">
        <w:rPr>
          <w:b/>
          <w:lang w:val="uk-UA" w:eastAsia="uk-UA"/>
        </w:rPr>
        <w:t>є державною допомогою</w:t>
      </w:r>
      <w:r w:rsidRPr="006E698E">
        <w:rPr>
          <w:lang w:val="uk-UA" w:eastAsia="uk-UA"/>
        </w:rPr>
        <w:t xml:space="preserve"> відповідно до Закону України «Про державну допомогу суб’єктам господарювання»</w:t>
      </w:r>
      <w:r w:rsidR="00A020F5" w:rsidRPr="006E698E">
        <w:rPr>
          <w:lang w:val="uk-UA" w:eastAsia="uk-UA"/>
        </w:rPr>
        <w:t xml:space="preserve">. </w:t>
      </w:r>
    </w:p>
    <w:p w:rsidR="00A020F5" w:rsidRPr="006E698E" w:rsidRDefault="00A020F5" w:rsidP="00A020F5">
      <w:pPr>
        <w:pStyle w:val="rvps2"/>
        <w:numPr>
          <w:ilvl w:val="0"/>
          <w:numId w:val="10"/>
        </w:numPr>
        <w:tabs>
          <w:tab w:val="left" w:pos="993"/>
        </w:tabs>
        <w:spacing w:before="0" w:beforeAutospacing="0" w:after="0" w:afterAutospacing="0"/>
        <w:ind w:left="0" w:firstLine="709"/>
        <w:jc w:val="both"/>
        <w:rPr>
          <w:lang w:val="uk-UA"/>
        </w:rPr>
      </w:pPr>
      <w:r w:rsidRPr="006E698E">
        <w:rPr>
          <w:lang w:val="uk-UA" w:eastAsia="uk-UA"/>
        </w:rPr>
        <w:t>Визнати,</w:t>
      </w:r>
      <w:r w:rsidRPr="006E698E">
        <w:rPr>
          <w:lang w:val="uk-UA"/>
        </w:rPr>
        <w:t xml:space="preserve"> що державна </w:t>
      </w:r>
      <w:r w:rsidRPr="006E698E">
        <w:rPr>
          <w:lang w:val="uk-UA" w:eastAsia="uk-UA"/>
        </w:rPr>
        <w:t xml:space="preserve">допомога у формі субсидій, поточних трансфертів та капітальних трансфертів для </w:t>
      </w:r>
      <w:r w:rsidRPr="006E698E">
        <w:rPr>
          <w:lang w:val="uk-UA"/>
        </w:rPr>
        <w:t xml:space="preserve">покращення якості надання послуг </w:t>
      </w:r>
      <w:r w:rsidR="0065549C">
        <w:rPr>
          <w:lang w:val="uk-UA"/>
        </w:rPr>
        <w:t>і</w:t>
      </w:r>
      <w:r w:rsidRPr="006E698E">
        <w:rPr>
          <w:lang w:val="uk-UA"/>
        </w:rPr>
        <w:t>з перевезення пасажирів міським електричним транспортом</w:t>
      </w:r>
      <w:r w:rsidRPr="006E698E">
        <w:rPr>
          <w:rFonts w:ascii="TimesNewRoman" w:hAnsi="TimesNewRoman"/>
          <w:lang w:val="uk-UA"/>
        </w:rPr>
        <w:t xml:space="preserve"> та </w:t>
      </w:r>
      <w:r w:rsidRPr="006E698E">
        <w:rPr>
          <w:lang w:val="uk-UA" w:eastAsia="uk-UA"/>
        </w:rPr>
        <w:t xml:space="preserve">збільшення питомої ваги електротранспорту </w:t>
      </w:r>
      <w:r w:rsidR="0065549C">
        <w:rPr>
          <w:lang w:val="uk-UA" w:eastAsia="uk-UA"/>
        </w:rPr>
        <w:t>в</w:t>
      </w:r>
      <w:r w:rsidR="0065549C" w:rsidRPr="006E698E">
        <w:rPr>
          <w:lang w:val="uk-UA" w:eastAsia="uk-UA"/>
        </w:rPr>
        <w:t xml:space="preserve"> </w:t>
      </w:r>
      <w:r w:rsidRPr="006E698E">
        <w:rPr>
          <w:lang w:val="uk-UA" w:eastAsia="uk-UA"/>
        </w:rPr>
        <w:t>міських пасажирських перевезеннях</w:t>
      </w:r>
      <w:r w:rsidRPr="006E698E">
        <w:rPr>
          <w:rFonts w:eastAsiaTheme="minorHAnsi"/>
          <w:lang w:val="uk-UA"/>
        </w:rPr>
        <w:t>,</w:t>
      </w:r>
      <w:r w:rsidRPr="006E698E">
        <w:rPr>
          <w:lang w:val="uk-UA" w:eastAsia="uk-UA"/>
        </w:rPr>
        <w:t xml:space="preserve"> що виділяється на підставі </w:t>
      </w:r>
      <w:r w:rsidRPr="006E698E">
        <w:rPr>
          <w:color w:val="000000" w:themeColor="text1"/>
          <w:lang w:val="uk-UA"/>
        </w:rPr>
        <w:t>рішення Білоцерківської міської ради від 24.12.2020 № 58-05-VIII «</w:t>
      </w:r>
      <w:r w:rsidRPr="006E698E">
        <w:rPr>
          <w:color w:val="000000" w:themeColor="text1"/>
          <w:lang w:val="uk-UA" w:eastAsia="uk-UA"/>
        </w:rPr>
        <w:t xml:space="preserve">Про затвердження Програми надання окремих видів пільг на 2021-2023 роки» </w:t>
      </w:r>
      <w:r w:rsidRPr="006E698E">
        <w:rPr>
          <w:lang w:val="uk-UA" w:eastAsia="uk-UA"/>
        </w:rPr>
        <w:t>комунальному підприємству Білоцерківської міської ради «Тролейбусне управління» на період з 01.01.2021 по 31.12.2023</w:t>
      </w:r>
      <w:r w:rsidR="003C4E21" w:rsidRPr="006E698E">
        <w:rPr>
          <w:lang w:val="uk-UA" w:eastAsia="uk-UA"/>
        </w:rPr>
        <w:t xml:space="preserve">, </w:t>
      </w:r>
      <w:r w:rsidR="0079254C" w:rsidRPr="006E698E">
        <w:rPr>
          <w:lang w:val="uk-UA"/>
        </w:rPr>
        <w:t>проєктів рішень виконавчого комітету Білоцерківської міської ради «Про затвердження висновку комісії по здійсненню контролю за фінансово-господарською діяльністю підприємств комунальної власності Білоцерківської міської територіальної громади на 2021 – 2025 роки»</w:t>
      </w:r>
      <w:r w:rsidRPr="006E698E">
        <w:rPr>
          <w:lang w:val="uk-UA" w:eastAsia="uk-UA"/>
        </w:rPr>
        <w:t xml:space="preserve"> та</w:t>
      </w:r>
      <w:r w:rsidRPr="006E698E">
        <w:rPr>
          <w:b/>
          <w:lang w:val="uk-UA"/>
        </w:rPr>
        <w:t xml:space="preserve"> </w:t>
      </w:r>
      <w:r w:rsidRPr="006E698E">
        <w:rPr>
          <w:lang w:val="uk-UA"/>
        </w:rPr>
        <w:t xml:space="preserve">рішення Білоцерківської міської ради від 15.05.2020 № 5239-96-VII «Про затвердження Програми розвитку електротранспорту міста Білої Церкви на 2021 </w:t>
      </w:r>
      <w:r w:rsidRPr="006E698E">
        <w:rPr>
          <w:lang w:val="uk-UA" w:eastAsia="uk-UA"/>
        </w:rPr>
        <w:t xml:space="preserve">– </w:t>
      </w:r>
      <w:r w:rsidRPr="006E698E">
        <w:rPr>
          <w:lang w:val="uk-UA"/>
        </w:rPr>
        <w:t xml:space="preserve">2025 роки» </w:t>
      </w:r>
      <w:r w:rsidRPr="006E698E">
        <w:rPr>
          <w:lang w:val="uk-UA" w:eastAsia="uk-UA"/>
        </w:rPr>
        <w:t xml:space="preserve">комунальному підприємству Білоцерківської міської ради «Тролейбусне управління» на період з 01.01.2021 по 31.12.2025 у сумі 323 275 500 (триста двадцять три мільйони двісті сімдесят п’ять тисяч п’ятсот) гривень, </w:t>
      </w:r>
      <w:r w:rsidRPr="006E698E">
        <w:rPr>
          <w:b/>
          <w:lang w:val="uk-UA" w:eastAsia="uk-UA"/>
        </w:rPr>
        <w:t>є</w:t>
      </w:r>
      <w:r w:rsidRPr="006E698E">
        <w:rPr>
          <w:lang w:val="uk-UA" w:eastAsia="uk-UA"/>
        </w:rPr>
        <w:t xml:space="preserve"> </w:t>
      </w:r>
      <w:r w:rsidRPr="006E698E">
        <w:rPr>
          <w:b/>
          <w:bCs/>
          <w:lang w:val="uk-UA" w:eastAsia="uk-UA"/>
        </w:rPr>
        <w:t>допустимою</w:t>
      </w:r>
      <w:r w:rsidRPr="006E698E">
        <w:rPr>
          <w:lang w:val="uk-UA" w:eastAsia="uk-UA"/>
        </w:rPr>
        <w:t xml:space="preserve"> для конкуренції </w:t>
      </w:r>
      <w:r w:rsidRPr="006E698E">
        <w:rPr>
          <w:b/>
          <w:bCs/>
          <w:lang w:val="uk-UA"/>
        </w:rPr>
        <w:t xml:space="preserve">за умови виконання </w:t>
      </w:r>
      <w:r w:rsidRPr="006E698E">
        <w:rPr>
          <w:lang w:val="uk-UA" w:eastAsia="uk-UA"/>
        </w:rPr>
        <w:t>Виконавчим комітетом Білоцерківської міської ради та Управлінням соціального захисту населення Білоцерківської міської ради</w:t>
      </w:r>
      <w:r w:rsidRPr="006E698E">
        <w:rPr>
          <w:lang w:val="uk-UA"/>
        </w:rPr>
        <w:t xml:space="preserve"> </w:t>
      </w:r>
      <w:r w:rsidR="00FE42D5">
        <w:rPr>
          <w:lang w:val="uk-UA"/>
        </w:rPr>
        <w:t xml:space="preserve">таких </w:t>
      </w:r>
      <w:r w:rsidRPr="006E698E">
        <w:rPr>
          <w:lang w:val="uk-UA"/>
        </w:rPr>
        <w:t xml:space="preserve">зобов’язань: </w:t>
      </w:r>
    </w:p>
    <w:p w:rsidR="00A020F5" w:rsidRPr="006E698E" w:rsidRDefault="00A020F5" w:rsidP="00A020F5">
      <w:pPr>
        <w:pStyle w:val="rvps2"/>
        <w:tabs>
          <w:tab w:val="left" w:pos="993"/>
        </w:tabs>
        <w:ind w:firstLine="709"/>
        <w:contextualSpacing/>
        <w:jc w:val="both"/>
        <w:rPr>
          <w:lang w:val="uk-UA"/>
        </w:rPr>
      </w:pPr>
      <w:r w:rsidRPr="006E698E">
        <w:rPr>
          <w:lang w:val="uk-UA"/>
        </w:rPr>
        <w:t xml:space="preserve">1) </w:t>
      </w:r>
      <w:r w:rsidRPr="006E698E">
        <w:rPr>
          <w:lang w:val="uk-UA"/>
        </w:rPr>
        <w:tab/>
        <w:t xml:space="preserve">розробити та затвердити 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w:t>
      </w:r>
      <w:r w:rsidRPr="006E698E">
        <w:rPr>
          <w:lang w:val="uk-UA" w:eastAsia="uk-UA"/>
        </w:rPr>
        <w:t>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6E698E">
        <w:rPr>
          <w:lang w:val="uk-UA"/>
        </w:rPr>
        <w:t xml:space="preserve">, а також вимог, що містяться в додатку до Регламенту </w:t>
      </w:r>
      <w:r w:rsidRPr="006E698E">
        <w:rPr>
          <w:lang w:val="uk-UA"/>
        </w:rPr>
        <w:lastRenderedPageBreak/>
        <w:t>(ЄС) № 1370/2007 Європейського Парламенту і Ради від 23.10.2007 про громадські послуги з перевезення пасажирів залізницею та автомобільними шляхами), в якому повинні бути чітко визначені:</w:t>
      </w:r>
    </w:p>
    <w:p w:rsidR="00A020F5" w:rsidRPr="006E698E" w:rsidRDefault="00A020F5" w:rsidP="00A020F5">
      <w:pPr>
        <w:pStyle w:val="rvps2"/>
        <w:tabs>
          <w:tab w:val="left" w:pos="993"/>
        </w:tabs>
        <w:ind w:firstLine="709"/>
        <w:contextualSpacing/>
        <w:jc w:val="both"/>
        <w:rPr>
          <w:lang w:val="uk-UA"/>
        </w:rPr>
      </w:pPr>
      <w:r w:rsidRPr="006E698E">
        <w:rPr>
          <w:lang w:val="uk-UA"/>
        </w:rPr>
        <w:t>-</w:t>
      </w:r>
      <w:r w:rsidRPr="006E698E">
        <w:rPr>
          <w:lang w:val="uk-UA"/>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A020F5" w:rsidRPr="006E698E" w:rsidRDefault="00A020F5" w:rsidP="00A020F5">
      <w:pPr>
        <w:pStyle w:val="rvps2"/>
        <w:tabs>
          <w:tab w:val="left" w:pos="993"/>
        </w:tabs>
        <w:ind w:firstLine="709"/>
        <w:contextualSpacing/>
        <w:jc w:val="both"/>
        <w:rPr>
          <w:lang w:val="uk-UA"/>
        </w:rPr>
      </w:pPr>
      <w:r w:rsidRPr="006E698E">
        <w:rPr>
          <w:lang w:val="uk-UA"/>
        </w:rPr>
        <w:t>-</w:t>
      </w:r>
      <w:r w:rsidRPr="006E698E">
        <w:rPr>
          <w:lang w:val="uk-UA"/>
        </w:rPr>
        <w:tab/>
        <w:t>заходи щодо уникнення та повернення компенсації у випадку надання надмірної компенсації;</w:t>
      </w:r>
    </w:p>
    <w:p w:rsidR="00A020F5" w:rsidRPr="006E698E" w:rsidRDefault="00A020F5" w:rsidP="00A020F5">
      <w:pPr>
        <w:pStyle w:val="rvps2"/>
        <w:tabs>
          <w:tab w:val="left" w:pos="993"/>
        </w:tabs>
        <w:ind w:firstLine="709"/>
        <w:contextualSpacing/>
        <w:jc w:val="both"/>
        <w:rPr>
          <w:lang w:val="uk-UA" w:eastAsia="uk-UA"/>
        </w:rPr>
      </w:pPr>
      <w:r w:rsidRPr="006E698E">
        <w:rPr>
          <w:lang w:val="uk-UA"/>
        </w:rPr>
        <w:t xml:space="preserve">2) </w:t>
      </w:r>
      <w:r w:rsidRPr="006E698E">
        <w:rPr>
          <w:lang w:val="uk-UA"/>
        </w:rPr>
        <w:tab/>
        <w:t xml:space="preserve">з метою уникнення отримання </w:t>
      </w:r>
      <w:r w:rsidRPr="006E698E">
        <w:rPr>
          <w:color w:val="000000" w:themeColor="text1"/>
          <w:lang w:val="uk-UA" w:eastAsia="uk-UA"/>
        </w:rPr>
        <w:t xml:space="preserve">комунальним підприємством </w:t>
      </w:r>
      <w:r w:rsidRPr="006E698E">
        <w:rPr>
          <w:lang w:val="uk-UA" w:eastAsia="uk-UA"/>
        </w:rPr>
        <w:t xml:space="preserve">Білоцерківської міської ради «Тролейбусне управління» надмірної (подвійної) компенсації забезпечити </w:t>
      </w:r>
      <w:proofErr w:type="spellStart"/>
      <w:r w:rsidRPr="006E698E">
        <w:rPr>
          <w:lang w:val="uk-UA" w:eastAsia="uk-UA"/>
        </w:rPr>
        <w:t>невключення</w:t>
      </w:r>
      <w:proofErr w:type="spellEnd"/>
      <w:r w:rsidRPr="006E698E">
        <w:rPr>
          <w:lang w:val="uk-UA" w:eastAsia="uk-UA"/>
        </w:rPr>
        <w:t xml:space="preserve"> амортизаційних нарахувань за </w:t>
      </w:r>
      <w:r w:rsidRPr="006E698E">
        <w:rPr>
          <w:bCs/>
          <w:lang w:val="uk-UA"/>
        </w:rPr>
        <w:t xml:space="preserve">придбані (оновлені) тролейбуси </w:t>
      </w:r>
      <w:r w:rsidRPr="006E698E">
        <w:rPr>
          <w:lang w:val="uk-UA"/>
        </w:rPr>
        <w:t>та оновлене обладнання</w:t>
      </w:r>
      <w:r w:rsidRPr="006E698E">
        <w:rPr>
          <w:lang w:val="uk-UA" w:eastAsia="uk-UA"/>
        </w:rPr>
        <w:t xml:space="preserve"> п</w:t>
      </w:r>
      <w:r w:rsidRPr="006E698E">
        <w:rPr>
          <w:lang w:val="uk-UA"/>
        </w:rPr>
        <w:t xml:space="preserve">ід час розрахунку в майбутньому вартості нового тарифу на </w:t>
      </w:r>
      <w:r w:rsidRPr="006E698E">
        <w:rPr>
          <w:bCs/>
          <w:lang w:val="uk-UA"/>
        </w:rPr>
        <w:t xml:space="preserve">перевезення пасажирів електричним транспортом у місті Біла Церква для </w:t>
      </w:r>
      <w:r w:rsidRPr="006E698E">
        <w:rPr>
          <w:color w:val="000000" w:themeColor="text1"/>
          <w:lang w:val="uk-UA" w:eastAsia="uk-UA"/>
        </w:rPr>
        <w:t xml:space="preserve">комунального підприємства </w:t>
      </w:r>
      <w:r w:rsidRPr="006E698E">
        <w:rPr>
          <w:lang w:val="uk-UA" w:eastAsia="uk-UA"/>
        </w:rPr>
        <w:t>Білоцерківської міської ради «Тролейбусне управління»</w:t>
      </w:r>
      <w:r w:rsidRPr="006E698E">
        <w:rPr>
          <w:bCs/>
          <w:lang w:val="uk-UA"/>
        </w:rPr>
        <w:t xml:space="preserve">, </w:t>
      </w:r>
      <w:r w:rsidRPr="006E698E">
        <w:rPr>
          <w:lang w:val="uk-UA" w:eastAsia="uk-UA"/>
        </w:rPr>
        <w:t xml:space="preserve">або коригування наявного тарифу, </w:t>
      </w:r>
      <w:r w:rsidRPr="006E698E">
        <w:rPr>
          <w:lang w:val="uk-UA"/>
        </w:rPr>
        <w:t xml:space="preserve">у зв’язку з тим, що придбані </w:t>
      </w:r>
      <w:r w:rsidRPr="006E698E">
        <w:rPr>
          <w:bCs/>
          <w:lang w:val="uk-UA"/>
        </w:rPr>
        <w:t xml:space="preserve">тролейбуси </w:t>
      </w:r>
      <w:r w:rsidRPr="006E698E">
        <w:rPr>
          <w:lang w:val="uk-UA" w:eastAsia="uk-UA"/>
        </w:rPr>
        <w:t xml:space="preserve">будуть передані </w:t>
      </w:r>
      <w:r w:rsidRPr="006E698E">
        <w:rPr>
          <w:color w:val="000000" w:themeColor="text1"/>
          <w:lang w:val="uk-UA" w:eastAsia="uk-UA"/>
        </w:rPr>
        <w:t xml:space="preserve">комунальному підприємству </w:t>
      </w:r>
      <w:r w:rsidRPr="006E698E">
        <w:rPr>
          <w:lang w:val="uk-UA" w:eastAsia="uk-UA"/>
        </w:rPr>
        <w:t>Білоцерківської міської ради «Тролейбусне управління» на безкоштовній основі;</w:t>
      </w:r>
    </w:p>
    <w:p w:rsidR="00A020F5" w:rsidRPr="006E698E" w:rsidRDefault="00A020F5" w:rsidP="00A020F5">
      <w:pPr>
        <w:pStyle w:val="rvps2"/>
        <w:tabs>
          <w:tab w:val="left" w:pos="993"/>
        </w:tabs>
        <w:ind w:firstLine="709"/>
        <w:contextualSpacing/>
        <w:jc w:val="both"/>
        <w:rPr>
          <w:lang w:val="uk-UA" w:eastAsia="uk-UA"/>
        </w:rPr>
      </w:pPr>
      <w:r w:rsidRPr="006E698E">
        <w:rPr>
          <w:lang w:val="uk-UA" w:eastAsia="uk-UA"/>
        </w:rPr>
        <w:t xml:space="preserve">3) </w:t>
      </w:r>
      <w:r w:rsidRPr="006E698E">
        <w:rPr>
          <w:lang w:val="uk-UA" w:eastAsia="uk-UA"/>
        </w:rPr>
        <w:tab/>
        <w:t xml:space="preserve">у разі включення </w:t>
      </w:r>
      <w:r w:rsidRPr="006E698E">
        <w:rPr>
          <w:lang w:val="uk-UA"/>
        </w:rPr>
        <w:t xml:space="preserve">амортизаційних нарахувань у вартість </w:t>
      </w:r>
      <w:r w:rsidRPr="006E698E">
        <w:rPr>
          <w:bCs/>
          <w:lang w:val="uk-UA"/>
        </w:rPr>
        <w:t xml:space="preserve">перевезення пасажирів електричним транспортом, </w:t>
      </w:r>
      <w:r w:rsidRPr="006E698E">
        <w:rPr>
          <w:lang w:val="uk-UA"/>
        </w:rPr>
        <w:t>який придбано (або оновлено) за кошти державної допомоги,</w:t>
      </w:r>
      <w:r w:rsidRPr="006E698E">
        <w:rPr>
          <w:lang w:val="uk-UA" w:eastAsia="uk-UA"/>
        </w:rPr>
        <w:t xml:space="preserve"> з</w:t>
      </w:r>
      <w:r w:rsidRPr="006E698E">
        <w:rPr>
          <w:lang w:val="uk-UA"/>
        </w:rPr>
        <w:t xml:space="preserve">абезпечити повернення </w:t>
      </w:r>
      <w:r w:rsidRPr="006E698E">
        <w:rPr>
          <w:color w:val="000000" w:themeColor="text1"/>
          <w:lang w:val="uk-UA" w:eastAsia="uk-UA"/>
        </w:rPr>
        <w:t xml:space="preserve">комунальним підприємством </w:t>
      </w:r>
      <w:r w:rsidRPr="006E698E">
        <w:rPr>
          <w:lang w:val="uk-UA" w:eastAsia="uk-UA"/>
        </w:rPr>
        <w:t xml:space="preserve">Білоцерківської міської ради «Тролейбусне управління» </w:t>
      </w:r>
      <w:r w:rsidRPr="006E698E">
        <w:rPr>
          <w:lang w:val="uk-UA"/>
        </w:rPr>
        <w:t>таких амортизаційних нарахувань</w:t>
      </w:r>
      <w:r w:rsidRPr="006E698E">
        <w:rPr>
          <w:lang w:val="uk-UA" w:eastAsia="uk-UA"/>
        </w:rPr>
        <w:t xml:space="preserve">. </w:t>
      </w:r>
    </w:p>
    <w:p w:rsidR="009D26E8" w:rsidRPr="006E698E" w:rsidRDefault="00A020F5" w:rsidP="00A020F5">
      <w:pPr>
        <w:pStyle w:val="rvps2"/>
        <w:tabs>
          <w:tab w:val="left" w:pos="993"/>
        </w:tabs>
        <w:spacing w:before="0" w:beforeAutospacing="0" w:after="0" w:afterAutospacing="0"/>
        <w:ind w:firstLine="709"/>
        <w:jc w:val="both"/>
        <w:rPr>
          <w:highlight w:val="yellow"/>
          <w:lang w:val="uk-UA" w:eastAsia="uk-UA"/>
        </w:rPr>
      </w:pPr>
      <w:r w:rsidRPr="006E698E">
        <w:rPr>
          <w:bCs/>
          <w:lang w:val="uk-UA"/>
        </w:rPr>
        <w:t xml:space="preserve">3. </w:t>
      </w:r>
      <w:r w:rsidRPr="006E698E">
        <w:rPr>
          <w:bCs/>
          <w:lang w:val="uk-UA"/>
        </w:rPr>
        <w:tab/>
        <w:t xml:space="preserve">Надавачі державної допомоги зобов’язані проінформувати Антимонопольний комітет України про виконання зобов’язань, викладених у пункті 2 резолютивної частини </w:t>
      </w:r>
      <w:r w:rsidR="00F50062">
        <w:rPr>
          <w:bCs/>
          <w:lang w:val="uk-UA"/>
        </w:rPr>
        <w:t xml:space="preserve">цього </w:t>
      </w:r>
      <w:r w:rsidR="000A0620" w:rsidRPr="006E698E">
        <w:rPr>
          <w:bCs/>
          <w:lang w:val="uk-UA"/>
        </w:rPr>
        <w:t>рішення</w:t>
      </w:r>
      <w:r w:rsidRPr="006E698E">
        <w:rPr>
          <w:bCs/>
          <w:lang w:val="uk-UA"/>
        </w:rPr>
        <w:t xml:space="preserve">, </w:t>
      </w:r>
      <w:r w:rsidRPr="006E698E">
        <w:rPr>
          <w:color w:val="000000" w:themeColor="text1"/>
          <w:lang w:val="uk-UA"/>
        </w:rPr>
        <w:t xml:space="preserve">протягом шести місяців </w:t>
      </w:r>
      <w:r w:rsidR="00F50062">
        <w:rPr>
          <w:color w:val="000000" w:themeColor="text1"/>
          <w:lang w:val="uk-UA"/>
        </w:rPr>
        <w:t>і</w:t>
      </w:r>
      <w:r w:rsidRPr="006E698E">
        <w:rPr>
          <w:color w:val="000000" w:themeColor="text1"/>
          <w:lang w:val="uk-UA"/>
        </w:rPr>
        <w:t>з дня прийняття цього рішення.</w:t>
      </w:r>
    </w:p>
    <w:p w:rsidR="00DC7631" w:rsidRPr="006E698E" w:rsidRDefault="00DC7631" w:rsidP="009D26E8">
      <w:pPr>
        <w:pStyle w:val="rvps2"/>
        <w:tabs>
          <w:tab w:val="left" w:pos="993"/>
        </w:tabs>
        <w:spacing w:before="0" w:beforeAutospacing="0" w:after="0" w:afterAutospacing="0"/>
        <w:ind w:firstLine="567"/>
        <w:jc w:val="both"/>
        <w:rPr>
          <w:lang w:val="uk-UA" w:eastAsia="uk-UA"/>
        </w:rPr>
      </w:pPr>
    </w:p>
    <w:p w:rsidR="00582173" w:rsidRPr="006E698E" w:rsidRDefault="00582173" w:rsidP="00582173">
      <w:pPr>
        <w:ind w:firstLine="540"/>
        <w:jc w:val="both"/>
      </w:pPr>
      <w:r w:rsidRPr="006E698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6E698E" w:rsidRDefault="00582173" w:rsidP="00582173">
      <w:pPr>
        <w:jc w:val="both"/>
      </w:pPr>
    </w:p>
    <w:p w:rsidR="001F157E" w:rsidRPr="006E698E" w:rsidRDefault="001F157E" w:rsidP="00582173">
      <w:pPr>
        <w:jc w:val="both"/>
      </w:pPr>
    </w:p>
    <w:p w:rsidR="00B040F0" w:rsidRPr="006E698E" w:rsidRDefault="00272044" w:rsidP="001F157E">
      <w:pPr>
        <w:jc w:val="both"/>
      </w:pPr>
      <w:r w:rsidRPr="006E698E">
        <w:t>Голов</w:t>
      </w:r>
      <w:r w:rsidR="00DC7631" w:rsidRPr="006E698E">
        <w:t>а</w:t>
      </w:r>
      <w:r w:rsidRPr="006E698E">
        <w:t xml:space="preserve"> Комітету                                       </w:t>
      </w:r>
      <w:r w:rsidR="00401E9E" w:rsidRPr="006E698E">
        <w:t xml:space="preserve">                </w:t>
      </w:r>
      <w:r w:rsidR="00C4340E" w:rsidRPr="006E698E">
        <w:t xml:space="preserve">       </w:t>
      </w:r>
      <w:r w:rsidR="00401E9E" w:rsidRPr="006E698E">
        <w:t xml:space="preserve">           </w:t>
      </w:r>
      <w:r w:rsidR="00DC7631" w:rsidRPr="006E698E">
        <w:t xml:space="preserve">            </w:t>
      </w:r>
      <w:r w:rsidR="00A020F5" w:rsidRPr="006E698E">
        <w:t xml:space="preserve">   </w:t>
      </w:r>
      <w:r w:rsidR="00401E9E" w:rsidRPr="006E698E">
        <w:t xml:space="preserve">  </w:t>
      </w:r>
      <w:r w:rsidR="00C550E7" w:rsidRPr="006E698E">
        <w:t xml:space="preserve"> </w:t>
      </w:r>
      <w:r w:rsidR="00DC7631" w:rsidRPr="006E698E">
        <w:t>О. ПІЩАНСЬКА</w:t>
      </w:r>
    </w:p>
    <w:sectPr w:rsidR="00B040F0" w:rsidRPr="006E698E" w:rsidSect="003A483D">
      <w:headerReference w:type="even" r:id="rId10"/>
      <w:headerReference w:type="default" r:id="rId11"/>
      <w:pgSz w:w="11906" w:h="16838"/>
      <w:pgMar w:top="96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34A" w:rsidRDefault="0078634A">
      <w:r>
        <w:separator/>
      </w:r>
    </w:p>
  </w:endnote>
  <w:endnote w:type="continuationSeparator" w:id="0">
    <w:p w:rsidR="0078634A" w:rsidRDefault="00786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34A" w:rsidRDefault="0078634A">
      <w:r>
        <w:separator/>
      </w:r>
    </w:p>
  </w:footnote>
  <w:footnote w:type="continuationSeparator" w:id="0">
    <w:p w:rsidR="0078634A" w:rsidRDefault="00786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34A" w:rsidRDefault="0078634A"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8634A" w:rsidRDefault="0078634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34A" w:rsidRDefault="0078634A"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355AE">
      <w:rPr>
        <w:rStyle w:val="a7"/>
        <w:noProof/>
      </w:rPr>
      <w:t>29</w:t>
    </w:r>
    <w:r>
      <w:rPr>
        <w:rStyle w:val="a7"/>
      </w:rPr>
      <w:fldChar w:fldCharType="end"/>
    </w:r>
  </w:p>
  <w:p w:rsidR="0078634A" w:rsidRDefault="0078634A">
    <w:pPr>
      <w:pStyle w:val="a5"/>
      <w:jc w:val="center"/>
    </w:pPr>
  </w:p>
  <w:p w:rsidR="0078634A" w:rsidRDefault="0078634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557"/>
    <w:multiLevelType w:val="multilevel"/>
    <w:tmpl w:val="EA08B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76F6159"/>
    <w:multiLevelType w:val="hybridMultilevel"/>
    <w:tmpl w:val="C4128FC6"/>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89E3465"/>
    <w:multiLevelType w:val="hybridMultilevel"/>
    <w:tmpl w:val="8F52C1A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0EB5686F"/>
    <w:multiLevelType w:val="hybridMultilevel"/>
    <w:tmpl w:val="78408A1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780113"/>
    <w:multiLevelType w:val="hybridMultilevel"/>
    <w:tmpl w:val="C14C0BD8"/>
    <w:lvl w:ilvl="0" w:tplc="C3F2CC08">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5A211D4"/>
    <w:multiLevelType w:val="multilevel"/>
    <w:tmpl w:val="91781CF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1EF966D7"/>
    <w:multiLevelType w:val="hybridMultilevel"/>
    <w:tmpl w:val="283E44CE"/>
    <w:lvl w:ilvl="0" w:tplc="B5D66238">
      <w:start w:val="3"/>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1FD61D74"/>
    <w:multiLevelType w:val="hybridMultilevel"/>
    <w:tmpl w:val="5262CCC4"/>
    <w:lvl w:ilvl="0" w:tplc="DEC4C13C">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3192664"/>
    <w:multiLevelType w:val="hybridMultilevel"/>
    <w:tmpl w:val="205A6B68"/>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3D729C0"/>
    <w:multiLevelType w:val="hybridMultilevel"/>
    <w:tmpl w:val="BBAC5CD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4952B8C"/>
    <w:multiLevelType w:val="hybridMultilevel"/>
    <w:tmpl w:val="BDCAA414"/>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4EE79B8"/>
    <w:multiLevelType w:val="multilevel"/>
    <w:tmpl w:val="CFEE7734"/>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4">
    <w:nsid w:val="25032889"/>
    <w:multiLevelType w:val="hybridMultilevel"/>
    <w:tmpl w:val="8800DFE2"/>
    <w:lvl w:ilvl="0" w:tplc="DEC4C13C">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2A4D1573"/>
    <w:multiLevelType w:val="hybridMultilevel"/>
    <w:tmpl w:val="3BE2AED4"/>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7">
    <w:nsid w:val="2F40701C"/>
    <w:multiLevelType w:val="hybridMultilevel"/>
    <w:tmpl w:val="58C4E81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BFF7412"/>
    <w:multiLevelType w:val="hybridMultilevel"/>
    <w:tmpl w:val="9B2A0420"/>
    <w:lvl w:ilvl="0" w:tplc="9AF09A6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nsid w:val="41CE4171"/>
    <w:multiLevelType w:val="hybridMultilevel"/>
    <w:tmpl w:val="093CB502"/>
    <w:lvl w:ilvl="0" w:tplc="DEC4C1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22710CE"/>
    <w:multiLevelType w:val="hybridMultilevel"/>
    <w:tmpl w:val="B2D422FE"/>
    <w:lvl w:ilvl="0" w:tplc="6772DDD2">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D67865"/>
    <w:multiLevelType w:val="multilevel"/>
    <w:tmpl w:val="A0100F4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ACB08E1"/>
    <w:multiLevelType w:val="hybridMultilevel"/>
    <w:tmpl w:val="75DE3D24"/>
    <w:lvl w:ilvl="0" w:tplc="2EA855F8">
      <w:start w:val="2025"/>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53C140A"/>
    <w:multiLevelType w:val="hybridMultilevel"/>
    <w:tmpl w:val="F1481526"/>
    <w:lvl w:ilvl="0" w:tplc="B5D6623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686293C"/>
    <w:multiLevelType w:val="hybridMultilevel"/>
    <w:tmpl w:val="4C92E95C"/>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8">
    <w:nsid w:val="5B313BE4"/>
    <w:multiLevelType w:val="hybridMultilevel"/>
    <w:tmpl w:val="5C687404"/>
    <w:lvl w:ilvl="0" w:tplc="0419000F">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9">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0">
    <w:nsid w:val="5DF70659"/>
    <w:multiLevelType w:val="hybridMultilevel"/>
    <w:tmpl w:val="B582C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2">
    <w:nsid w:val="607C2F69"/>
    <w:multiLevelType w:val="hybridMultilevel"/>
    <w:tmpl w:val="322072BE"/>
    <w:lvl w:ilvl="0" w:tplc="DEC4C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62906FA0"/>
    <w:multiLevelType w:val="hybridMultilevel"/>
    <w:tmpl w:val="4E22E09C"/>
    <w:lvl w:ilvl="0" w:tplc="B5D66238">
      <w:start w:val="3"/>
      <w:numFmt w:val="bullet"/>
      <w:lvlText w:val="-"/>
      <w:lvlJc w:val="left"/>
      <w:pPr>
        <w:ind w:left="1356" w:hanging="360"/>
      </w:pPr>
      <w:rPr>
        <w:rFonts w:ascii="Times New Roman" w:eastAsia="Times New Roman" w:hAnsi="Times New Roman" w:cs="Times New Roman"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34">
    <w:nsid w:val="6A156536"/>
    <w:multiLevelType w:val="hybridMultilevel"/>
    <w:tmpl w:val="2806C222"/>
    <w:lvl w:ilvl="0" w:tplc="DEC4C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nsid w:val="6AB608BF"/>
    <w:multiLevelType w:val="hybridMultilevel"/>
    <w:tmpl w:val="516E59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2C1913"/>
    <w:multiLevelType w:val="hybridMultilevel"/>
    <w:tmpl w:val="5AB2F992"/>
    <w:lvl w:ilvl="0" w:tplc="B5D6623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6C9A2A1A"/>
    <w:multiLevelType w:val="hybridMultilevel"/>
    <w:tmpl w:val="39B67E36"/>
    <w:lvl w:ilvl="0" w:tplc="46E64DBA">
      <w:start w:val="1"/>
      <w:numFmt w:val="decimal"/>
      <w:lvlText w:val="(%1)"/>
      <w:lvlJc w:val="left"/>
      <w:pPr>
        <w:ind w:left="360" w:hanging="360"/>
      </w:pPr>
      <w:rPr>
        <w:rFonts w:hint="default"/>
        <w:b w:val="0"/>
        <w:i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9">
    <w:nsid w:val="78495481"/>
    <w:multiLevelType w:val="hybridMultilevel"/>
    <w:tmpl w:val="568A4EAC"/>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A2C317A"/>
    <w:multiLevelType w:val="hybridMultilevel"/>
    <w:tmpl w:val="9454EB08"/>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A9026CF"/>
    <w:multiLevelType w:val="hybridMultilevel"/>
    <w:tmpl w:val="3970EDD4"/>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CC0300E"/>
    <w:multiLevelType w:val="hybridMultilevel"/>
    <w:tmpl w:val="D8D0516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7"/>
  </w:num>
  <w:num w:numId="2">
    <w:abstractNumId w:val="37"/>
  </w:num>
  <w:num w:numId="3">
    <w:abstractNumId w:val="4"/>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6"/>
  </w:num>
  <w:num w:numId="7">
    <w:abstractNumId w:val="1"/>
  </w:num>
  <w:num w:numId="8">
    <w:abstractNumId w:val="18"/>
  </w:num>
  <w:num w:numId="9">
    <w:abstractNumId w:val="26"/>
  </w:num>
  <w:num w:numId="10">
    <w:abstractNumId w:val="28"/>
  </w:num>
  <w:num w:numId="11">
    <w:abstractNumId w:val="30"/>
  </w:num>
  <w:num w:numId="12">
    <w:abstractNumId w:val="3"/>
  </w:num>
  <w:num w:numId="13">
    <w:abstractNumId w:val="12"/>
  </w:num>
  <w:num w:numId="14">
    <w:abstractNumId w:val="33"/>
  </w:num>
  <w:num w:numId="15">
    <w:abstractNumId w:val="32"/>
  </w:num>
  <w:num w:numId="16">
    <w:abstractNumId w:val="8"/>
  </w:num>
  <w:num w:numId="17">
    <w:abstractNumId w:val="25"/>
  </w:num>
  <w:num w:numId="18">
    <w:abstractNumId w:val="34"/>
  </w:num>
  <w:num w:numId="19">
    <w:abstractNumId w:val="14"/>
  </w:num>
  <w:num w:numId="20">
    <w:abstractNumId w:val="36"/>
  </w:num>
  <w:num w:numId="21">
    <w:abstractNumId w:val="24"/>
  </w:num>
  <w:num w:numId="22">
    <w:abstractNumId w:val="20"/>
  </w:num>
  <w:num w:numId="23">
    <w:abstractNumId w:val="22"/>
  </w:num>
  <w:num w:numId="24">
    <w:abstractNumId w:val="11"/>
  </w:num>
  <w:num w:numId="25">
    <w:abstractNumId w:val="10"/>
  </w:num>
  <w:num w:numId="26">
    <w:abstractNumId w:val="40"/>
  </w:num>
  <w:num w:numId="27">
    <w:abstractNumId w:val="17"/>
  </w:num>
  <w:num w:numId="28">
    <w:abstractNumId w:val="4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5"/>
  </w:num>
  <w:num w:numId="33">
    <w:abstractNumId w:val="5"/>
  </w:num>
  <w:num w:numId="34">
    <w:abstractNumId w:val="29"/>
  </w:num>
  <w:num w:numId="35">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3"/>
  </w:num>
  <w:num w:numId="38">
    <w:abstractNumId w:val="39"/>
  </w:num>
  <w:num w:numId="39">
    <w:abstractNumId w:val="27"/>
  </w:num>
  <w:num w:numId="40">
    <w:abstractNumId w:val="31"/>
  </w:num>
  <w:num w:numId="41">
    <w:abstractNumId w:val="9"/>
  </w:num>
  <w:num w:numId="42">
    <w:abstractNumId w:val="42"/>
  </w:num>
  <w:num w:numId="43">
    <w:abstractNumId w:val="6"/>
  </w:num>
  <w:num w:numId="44">
    <w:abstractNumId w:val="35"/>
  </w:num>
  <w:num w:numId="4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10C"/>
    <w:rsid w:val="000067F1"/>
    <w:rsid w:val="00007A50"/>
    <w:rsid w:val="000106B7"/>
    <w:rsid w:val="000126BA"/>
    <w:rsid w:val="00015FFE"/>
    <w:rsid w:val="00017238"/>
    <w:rsid w:val="0001748A"/>
    <w:rsid w:val="00017F10"/>
    <w:rsid w:val="0002146C"/>
    <w:rsid w:val="00023F51"/>
    <w:rsid w:val="0002492E"/>
    <w:rsid w:val="0003202D"/>
    <w:rsid w:val="00035A99"/>
    <w:rsid w:val="00037305"/>
    <w:rsid w:val="000379CE"/>
    <w:rsid w:val="0004050F"/>
    <w:rsid w:val="00041D17"/>
    <w:rsid w:val="00043F7C"/>
    <w:rsid w:val="000456E6"/>
    <w:rsid w:val="00045CFD"/>
    <w:rsid w:val="0004659B"/>
    <w:rsid w:val="00046770"/>
    <w:rsid w:val="000515E8"/>
    <w:rsid w:val="00052A69"/>
    <w:rsid w:val="000546AD"/>
    <w:rsid w:val="00055C26"/>
    <w:rsid w:val="0005623C"/>
    <w:rsid w:val="0005761E"/>
    <w:rsid w:val="00071051"/>
    <w:rsid w:val="000716DE"/>
    <w:rsid w:val="0007277D"/>
    <w:rsid w:val="000735EC"/>
    <w:rsid w:val="00075C27"/>
    <w:rsid w:val="000839F8"/>
    <w:rsid w:val="00083A88"/>
    <w:rsid w:val="00084AAC"/>
    <w:rsid w:val="00085149"/>
    <w:rsid w:val="00095F0D"/>
    <w:rsid w:val="00096C89"/>
    <w:rsid w:val="00096EBD"/>
    <w:rsid w:val="000A0620"/>
    <w:rsid w:val="000A345B"/>
    <w:rsid w:val="000A4361"/>
    <w:rsid w:val="000A458B"/>
    <w:rsid w:val="000A732B"/>
    <w:rsid w:val="000B081B"/>
    <w:rsid w:val="000B1BAB"/>
    <w:rsid w:val="000B283F"/>
    <w:rsid w:val="000B4592"/>
    <w:rsid w:val="000B59F6"/>
    <w:rsid w:val="000C0698"/>
    <w:rsid w:val="000C45D4"/>
    <w:rsid w:val="000C4C8B"/>
    <w:rsid w:val="000C6C19"/>
    <w:rsid w:val="000D3ADB"/>
    <w:rsid w:val="000D3FB4"/>
    <w:rsid w:val="000D4203"/>
    <w:rsid w:val="000D4CA6"/>
    <w:rsid w:val="000D5073"/>
    <w:rsid w:val="000D7BC6"/>
    <w:rsid w:val="000E0215"/>
    <w:rsid w:val="000E0873"/>
    <w:rsid w:val="000E41A7"/>
    <w:rsid w:val="000E6808"/>
    <w:rsid w:val="000E7E3F"/>
    <w:rsid w:val="000F0380"/>
    <w:rsid w:val="000F0810"/>
    <w:rsid w:val="000F1DE9"/>
    <w:rsid w:val="000F65DE"/>
    <w:rsid w:val="000F6F2A"/>
    <w:rsid w:val="0010609F"/>
    <w:rsid w:val="00107AB5"/>
    <w:rsid w:val="001109A7"/>
    <w:rsid w:val="00113050"/>
    <w:rsid w:val="00114638"/>
    <w:rsid w:val="00117472"/>
    <w:rsid w:val="00120D18"/>
    <w:rsid w:val="00122C6F"/>
    <w:rsid w:val="00124EEF"/>
    <w:rsid w:val="00126599"/>
    <w:rsid w:val="00126CBB"/>
    <w:rsid w:val="00130E8A"/>
    <w:rsid w:val="00130F4F"/>
    <w:rsid w:val="00132D44"/>
    <w:rsid w:val="001359B8"/>
    <w:rsid w:val="00135BA8"/>
    <w:rsid w:val="001364B8"/>
    <w:rsid w:val="00137D70"/>
    <w:rsid w:val="00147E78"/>
    <w:rsid w:val="00152809"/>
    <w:rsid w:val="001544B1"/>
    <w:rsid w:val="001548C7"/>
    <w:rsid w:val="0015642F"/>
    <w:rsid w:val="00160B05"/>
    <w:rsid w:val="00163511"/>
    <w:rsid w:val="00163798"/>
    <w:rsid w:val="00165B17"/>
    <w:rsid w:val="0017068D"/>
    <w:rsid w:val="00171071"/>
    <w:rsid w:val="00173CA4"/>
    <w:rsid w:val="00174E90"/>
    <w:rsid w:val="00175D87"/>
    <w:rsid w:val="00180755"/>
    <w:rsid w:val="00183444"/>
    <w:rsid w:val="001846B6"/>
    <w:rsid w:val="00185989"/>
    <w:rsid w:val="00185D06"/>
    <w:rsid w:val="001908EA"/>
    <w:rsid w:val="00191D68"/>
    <w:rsid w:val="0019280E"/>
    <w:rsid w:val="001A1D33"/>
    <w:rsid w:val="001A301B"/>
    <w:rsid w:val="001A56EB"/>
    <w:rsid w:val="001B2DF2"/>
    <w:rsid w:val="001B55DF"/>
    <w:rsid w:val="001B7482"/>
    <w:rsid w:val="001C1D38"/>
    <w:rsid w:val="001C1E0A"/>
    <w:rsid w:val="001C4711"/>
    <w:rsid w:val="001C6D2E"/>
    <w:rsid w:val="001D00AC"/>
    <w:rsid w:val="001D106B"/>
    <w:rsid w:val="001D1A66"/>
    <w:rsid w:val="001D1B8D"/>
    <w:rsid w:val="001D221E"/>
    <w:rsid w:val="001D50EE"/>
    <w:rsid w:val="001D55A9"/>
    <w:rsid w:val="001E1781"/>
    <w:rsid w:val="001E2F46"/>
    <w:rsid w:val="001E4F3E"/>
    <w:rsid w:val="001E6372"/>
    <w:rsid w:val="001E6FF0"/>
    <w:rsid w:val="001E72F2"/>
    <w:rsid w:val="001F157E"/>
    <w:rsid w:val="001F158F"/>
    <w:rsid w:val="001F3564"/>
    <w:rsid w:val="001F3C33"/>
    <w:rsid w:val="001F6312"/>
    <w:rsid w:val="001F6A0A"/>
    <w:rsid w:val="002020AA"/>
    <w:rsid w:val="00204BC6"/>
    <w:rsid w:val="00206C92"/>
    <w:rsid w:val="00213B48"/>
    <w:rsid w:val="00214B31"/>
    <w:rsid w:val="00221F29"/>
    <w:rsid w:val="002232D3"/>
    <w:rsid w:val="00223868"/>
    <w:rsid w:val="00223B12"/>
    <w:rsid w:val="002246B9"/>
    <w:rsid w:val="0022778C"/>
    <w:rsid w:val="00232E4C"/>
    <w:rsid w:val="00232FB4"/>
    <w:rsid w:val="00233A29"/>
    <w:rsid w:val="00241D1B"/>
    <w:rsid w:val="00244C79"/>
    <w:rsid w:val="002450A2"/>
    <w:rsid w:val="0024521F"/>
    <w:rsid w:val="002453F9"/>
    <w:rsid w:val="002516E8"/>
    <w:rsid w:val="00251C42"/>
    <w:rsid w:val="0025295D"/>
    <w:rsid w:val="00252A64"/>
    <w:rsid w:val="0025394A"/>
    <w:rsid w:val="00254ADE"/>
    <w:rsid w:val="002554BA"/>
    <w:rsid w:val="0025553C"/>
    <w:rsid w:val="00255B1C"/>
    <w:rsid w:val="00256BEA"/>
    <w:rsid w:val="00256CB5"/>
    <w:rsid w:val="00257223"/>
    <w:rsid w:val="002705A0"/>
    <w:rsid w:val="002710E6"/>
    <w:rsid w:val="00272044"/>
    <w:rsid w:val="002726E1"/>
    <w:rsid w:val="00273D29"/>
    <w:rsid w:val="00274913"/>
    <w:rsid w:val="0027682E"/>
    <w:rsid w:val="0028183A"/>
    <w:rsid w:val="002829CB"/>
    <w:rsid w:val="00283F44"/>
    <w:rsid w:val="00286B07"/>
    <w:rsid w:val="00291463"/>
    <w:rsid w:val="00291655"/>
    <w:rsid w:val="00291988"/>
    <w:rsid w:val="00293F61"/>
    <w:rsid w:val="0029456B"/>
    <w:rsid w:val="002951F3"/>
    <w:rsid w:val="00295C72"/>
    <w:rsid w:val="002A00FB"/>
    <w:rsid w:val="002A2381"/>
    <w:rsid w:val="002A43C6"/>
    <w:rsid w:val="002A4C40"/>
    <w:rsid w:val="002A54A2"/>
    <w:rsid w:val="002A6EBA"/>
    <w:rsid w:val="002B2F6F"/>
    <w:rsid w:val="002B625B"/>
    <w:rsid w:val="002C04E4"/>
    <w:rsid w:val="002C068E"/>
    <w:rsid w:val="002C3DFA"/>
    <w:rsid w:val="002C3E1D"/>
    <w:rsid w:val="002C4DE4"/>
    <w:rsid w:val="002C5E83"/>
    <w:rsid w:val="002C630A"/>
    <w:rsid w:val="002D09F1"/>
    <w:rsid w:val="002D23BE"/>
    <w:rsid w:val="002D278B"/>
    <w:rsid w:val="002D3908"/>
    <w:rsid w:val="002D4F3B"/>
    <w:rsid w:val="002D76BD"/>
    <w:rsid w:val="002E2A06"/>
    <w:rsid w:val="002F4B5E"/>
    <w:rsid w:val="003013C7"/>
    <w:rsid w:val="003015AF"/>
    <w:rsid w:val="00301F57"/>
    <w:rsid w:val="0030228C"/>
    <w:rsid w:val="00302512"/>
    <w:rsid w:val="00303711"/>
    <w:rsid w:val="003051E5"/>
    <w:rsid w:val="003114DF"/>
    <w:rsid w:val="003122CD"/>
    <w:rsid w:val="003129FB"/>
    <w:rsid w:val="0031370E"/>
    <w:rsid w:val="003162A3"/>
    <w:rsid w:val="003163FD"/>
    <w:rsid w:val="00320F0A"/>
    <w:rsid w:val="00321598"/>
    <w:rsid w:val="00322758"/>
    <w:rsid w:val="0032382E"/>
    <w:rsid w:val="00323C9F"/>
    <w:rsid w:val="00326C49"/>
    <w:rsid w:val="00331445"/>
    <w:rsid w:val="003317B3"/>
    <w:rsid w:val="0033425F"/>
    <w:rsid w:val="00335787"/>
    <w:rsid w:val="00336845"/>
    <w:rsid w:val="003376D8"/>
    <w:rsid w:val="00340E78"/>
    <w:rsid w:val="003416B7"/>
    <w:rsid w:val="003433EC"/>
    <w:rsid w:val="00344310"/>
    <w:rsid w:val="003445EA"/>
    <w:rsid w:val="00347DF4"/>
    <w:rsid w:val="0035078D"/>
    <w:rsid w:val="00351A15"/>
    <w:rsid w:val="00351E5E"/>
    <w:rsid w:val="003526C0"/>
    <w:rsid w:val="0036178D"/>
    <w:rsid w:val="00362ECA"/>
    <w:rsid w:val="003631A5"/>
    <w:rsid w:val="00363673"/>
    <w:rsid w:val="0036538D"/>
    <w:rsid w:val="0036554A"/>
    <w:rsid w:val="0036607C"/>
    <w:rsid w:val="00367A5A"/>
    <w:rsid w:val="00372246"/>
    <w:rsid w:val="0037597D"/>
    <w:rsid w:val="00377BF5"/>
    <w:rsid w:val="00381830"/>
    <w:rsid w:val="0038378D"/>
    <w:rsid w:val="00385425"/>
    <w:rsid w:val="00386BD4"/>
    <w:rsid w:val="003969F8"/>
    <w:rsid w:val="003A3D9D"/>
    <w:rsid w:val="003A483D"/>
    <w:rsid w:val="003A48BA"/>
    <w:rsid w:val="003A538D"/>
    <w:rsid w:val="003B0907"/>
    <w:rsid w:val="003B18B3"/>
    <w:rsid w:val="003B3DCF"/>
    <w:rsid w:val="003B76EA"/>
    <w:rsid w:val="003C07EB"/>
    <w:rsid w:val="003C0FD9"/>
    <w:rsid w:val="003C33CF"/>
    <w:rsid w:val="003C4765"/>
    <w:rsid w:val="003C4E21"/>
    <w:rsid w:val="003C6189"/>
    <w:rsid w:val="003C6989"/>
    <w:rsid w:val="003D0A6F"/>
    <w:rsid w:val="003D0D18"/>
    <w:rsid w:val="003D16CD"/>
    <w:rsid w:val="003D19B4"/>
    <w:rsid w:val="003D34DF"/>
    <w:rsid w:val="003E24A3"/>
    <w:rsid w:val="003E3F01"/>
    <w:rsid w:val="003E434C"/>
    <w:rsid w:val="003E64BB"/>
    <w:rsid w:val="003E6F08"/>
    <w:rsid w:val="003E724C"/>
    <w:rsid w:val="003E7E02"/>
    <w:rsid w:val="003F0F91"/>
    <w:rsid w:val="003F1891"/>
    <w:rsid w:val="003F2054"/>
    <w:rsid w:val="003F39B1"/>
    <w:rsid w:val="003F4D14"/>
    <w:rsid w:val="003F5D1D"/>
    <w:rsid w:val="003F605A"/>
    <w:rsid w:val="003F655C"/>
    <w:rsid w:val="003F7790"/>
    <w:rsid w:val="00400741"/>
    <w:rsid w:val="00401298"/>
    <w:rsid w:val="004017C2"/>
    <w:rsid w:val="00401E9E"/>
    <w:rsid w:val="00402502"/>
    <w:rsid w:val="00403C3B"/>
    <w:rsid w:val="004056D0"/>
    <w:rsid w:val="00405D39"/>
    <w:rsid w:val="004067FB"/>
    <w:rsid w:val="00407D1B"/>
    <w:rsid w:val="00414A8F"/>
    <w:rsid w:val="00416009"/>
    <w:rsid w:val="00416C5A"/>
    <w:rsid w:val="00421203"/>
    <w:rsid w:val="004221C7"/>
    <w:rsid w:val="00423624"/>
    <w:rsid w:val="00425484"/>
    <w:rsid w:val="00427C54"/>
    <w:rsid w:val="00430048"/>
    <w:rsid w:val="0043099A"/>
    <w:rsid w:val="00436992"/>
    <w:rsid w:val="00436C53"/>
    <w:rsid w:val="00440A16"/>
    <w:rsid w:val="004434E4"/>
    <w:rsid w:val="0044598A"/>
    <w:rsid w:val="00445F95"/>
    <w:rsid w:val="00446459"/>
    <w:rsid w:val="004471F8"/>
    <w:rsid w:val="00451C19"/>
    <w:rsid w:val="00452D25"/>
    <w:rsid w:val="004534E0"/>
    <w:rsid w:val="00453B05"/>
    <w:rsid w:val="00455A6C"/>
    <w:rsid w:val="00456FC7"/>
    <w:rsid w:val="00463920"/>
    <w:rsid w:val="00463BB6"/>
    <w:rsid w:val="00464042"/>
    <w:rsid w:val="0046554C"/>
    <w:rsid w:val="0046618B"/>
    <w:rsid w:val="004701B2"/>
    <w:rsid w:val="00473002"/>
    <w:rsid w:val="00475ADE"/>
    <w:rsid w:val="00480FFA"/>
    <w:rsid w:val="00481119"/>
    <w:rsid w:val="0048288C"/>
    <w:rsid w:val="00486199"/>
    <w:rsid w:val="004916EE"/>
    <w:rsid w:val="00491C03"/>
    <w:rsid w:val="00496512"/>
    <w:rsid w:val="004A2A13"/>
    <w:rsid w:val="004A4160"/>
    <w:rsid w:val="004A71A6"/>
    <w:rsid w:val="004A73A2"/>
    <w:rsid w:val="004B1029"/>
    <w:rsid w:val="004B2337"/>
    <w:rsid w:val="004B3C8E"/>
    <w:rsid w:val="004B461E"/>
    <w:rsid w:val="004B764F"/>
    <w:rsid w:val="004C017D"/>
    <w:rsid w:val="004C0539"/>
    <w:rsid w:val="004C102F"/>
    <w:rsid w:val="004C1845"/>
    <w:rsid w:val="004C1A12"/>
    <w:rsid w:val="004D023F"/>
    <w:rsid w:val="004D05BF"/>
    <w:rsid w:val="004D529C"/>
    <w:rsid w:val="004D5E26"/>
    <w:rsid w:val="004D7495"/>
    <w:rsid w:val="004E4671"/>
    <w:rsid w:val="004E4CF2"/>
    <w:rsid w:val="004E6D2F"/>
    <w:rsid w:val="004F18A2"/>
    <w:rsid w:val="004F2675"/>
    <w:rsid w:val="004F2C4C"/>
    <w:rsid w:val="004F2DAA"/>
    <w:rsid w:val="004F499A"/>
    <w:rsid w:val="004F69FD"/>
    <w:rsid w:val="004F7742"/>
    <w:rsid w:val="00501AD2"/>
    <w:rsid w:val="00502C99"/>
    <w:rsid w:val="0050490C"/>
    <w:rsid w:val="00504BD5"/>
    <w:rsid w:val="005075DC"/>
    <w:rsid w:val="005144EF"/>
    <w:rsid w:val="00517E6F"/>
    <w:rsid w:val="00520ADA"/>
    <w:rsid w:val="00520B28"/>
    <w:rsid w:val="00520D85"/>
    <w:rsid w:val="00520F5C"/>
    <w:rsid w:val="005230DE"/>
    <w:rsid w:val="00525DD0"/>
    <w:rsid w:val="005270D9"/>
    <w:rsid w:val="00532B05"/>
    <w:rsid w:val="00533D2D"/>
    <w:rsid w:val="00540A42"/>
    <w:rsid w:val="005410D3"/>
    <w:rsid w:val="00543AC5"/>
    <w:rsid w:val="00543F30"/>
    <w:rsid w:val="00544912"/>
    <w:rsid w:val="00545BE3"/>
    <w:rsid w:val="00554019"/>
    <w:rsid w:val="005549E7"/>
    <w:rsid w:val="00555997"/>
    <w:rsid w:val="0055698E"/>
    <w:rsid w:val="00567823"/>
    <w:rsid w:val="00567896"/>
    <w:rsid w:val="005711A6"/>
    <w:rsid w:val="005724F5"/>
    <w:rsid w:val="00573307"/>
    <w:rsid w:val="005734D4"/>
    <w:rsid w:val="005755A6"/>
    <w:rsid w:val="0057688D"/>
    <w:rsid w:val="00577691"/>
    <w:rsid w:val="00582173"/>
    <w:rsid w:val="0058244B"/>
    <w:rsid w:val="00587E8B"/>
    <w:rsid w:val="00592F0C"/>
    <w:rsid w:val="00593C7D"/>
    <w:rsid w:val="005A0A7C"/>
    <w:rsid w:val="005A1DD9"/>
    <w:rsid w:val="005A2C80"/>
    <w:rsid w:val="005A662F"/>
    <w:rsid w:val="005A72F8"/>
    <w:rsid w:val="005A7752"/>
    <w:rsid w:val="005A787C"/>
    <w:rsid w:val="005A7C66"/>
    <w:rsid w:val="005B1711"/>
    <w:rsid w:val="005B390C"/>
    <w:rsid w:val="005C00E9"/>
    <w:rsid w:val="005D04A5"/>
    <w:rsid w:val="005D2E33"/>
    <w:rsid w:val="005D7AB2"/>
    <w:rsid w:val="005E0319"/>
    <w:rsid w:val="005E6197"/>
    <w:rsid w:val="005E7401"/>
    <w:rsid w:val="005F0CFD"/>
    <w:rsid w:val="005F1C2E"/>
    <w:rsid w:val="005F2729"/>
    <w:rsid w:val="005F6D04"/>
    <w:rsid w:val="005F7CAA"/>
    <w:rsid w:val="00602AD9"/>
    <w:rsid w:val="00604A8C"/>
    <w:rsid w:val="00611969"/>
    <w:rsid w:val="00611F6C"/>
    <w:rsid w:val="00616B78"/>
    <w:rsid w:val="00617814"/>
    <w:rsid w:val="00617BFA"/>
    <w:rsid w:val="0062036E"/>
    <w:rsid w:val="00624D57"/>
    <w:rsid w:val="00624F15"/>
    <w:rsid w:val="006339AF"/>
    <w:rsid w:val="00634089"/>
    <w:rsid w:val="006412F2"/>
    <w:rsid w:val="0064271F"/>
    <w:rsid w:val="0064352E"/>
    <w:rsid w:val="0065519F"/>
    <w:rsid w:val="0065549C"/>
    <w:rsid w:val="00660E03"/>
    <w:rsid w:val="00660E4D"/>
    <w:rsid w:val="0066284A"/>
    <w:rsid w:val="0066433E"/>
    <w:rsid w:val="0066509F"/>
    <w:rsid w:val="00666AC0"/>
    <w:rsid w:val="00667823"/>
    <w:rsid w:val="00671EBB"/>
    <w:rsid w:val="00672851"/>
    <w:rsid w:val="006754B1"/>
    <w:rsid w:val="00675E77"/>
    <w:rsid w:val="00676787"/>
    <w:rsid w:val="00677F1C"/>
    <w:rsid w:val="006804FF"/>
    <w:rsid w:val="006818F5"/>
    <w:rsid w:val="00685E7B"/>
    <w:rsid w:val="006863C5"/>
    <w:rsid w:val="006914A9"/>
    <w:rsid w:val="006919E7"/>
    <w:rsid w:val="006925DC"/>
    <w:rsid w:val="006951FF"/>
    <w:rsid w:val="006A2278"/>
    <w:rsid w:val="006A4AAA"/>
    <w:rsid w:val="006A50F6"/>
    <w:rsid w:val="006B12FB"/>
    <w:rsid w:val="006B7A48"/>
    <w:rsid w:val="006B7D1E"/>
    <w:rsid w:val="006B7EC1"/>
    <w:rsid w:val="006C5430"/>
    <w:rsid w:val="006C6614"/>
    <w:rsid w:val="006C69EC"/>
    <w:rsid w:val="006D1162"/>
    <w:rsid w:val="006D3423"/>
    <w:rsid w:val="006E25B9"/>
    <w:rsid w:val="006E38AE"/>
    <w:rsid w:val="006E5CB2"/>
    <w:rsid w:val="006E698E"/>
    <w:rsid w:val="006E6DC7"/>
    <w:rsid w:val="006F16FC"/>
    <w:rsid w:val="006F1D19"/>
    <w:rsid w:val="006F1F23"/>
    <w:rsid w:val="006F3B1C"/>
    <w:rsid w:val="006F4AC6"/>
    <w:rsid w:val="006F55E7"/>
    <w:rsid w:val="006F5B19"/>
    <w:rsid w:val="006F5E85"/>
    <w:rsid w:val="006F6F5F"/>
    <w:rsid w:val="006F7E29"/>
    <w:rsid w:val="00702FDF"/>
    <w:rsid w:val="00704840"/>
    <w:rsid w:val="00704C10"/>
    <w:rsid w:val="00706CA0"/>
    <w:rsid w:val="007076B4"/>
    <w:rsid w:val="007079BD"/>
    <w:rsid w:val="0071103A"/>
    <w:rsid w:val="007140EC"/>
    <w:rsid w:val="00715484"/>
    <w:rsid w:val="00717056"/>
    <w:rsid w:val="0072100D"/>
    <w:rsid w:val="007212A5"/>
    <w:rsid w:val="00721D1B"/>
    <w:rsid w:val="007233CC"/>
    <w:rsid w:val="00723E4B"/>
    <w:rsid w:val="00727544"/>
    <w:rsid w:val="00727FFC"/>
    <w:rsid w:val="00731F9C"/>
    <w:rsid w:val="0074155E"/>
    <w:rsid w:val="00743A15"/>
    <w:rsid w:val="00744558"/>
    <w:rsid w:val="00744D1E"/>
    <w:rsid w:val="00746E95"/>
    <w:rsid w:val="00751FBD"/>
    <w:rsid w:val="007534AD"/>
    <w:rsid w:val="007647A7"/>
    <w:rsid w:val="007679E4"/>
    <w:rsid w:val="00770A7D"/>
    <w:rsid w:val="00771902"/>
    <w:rsid w:val="00771FFC"/>
    <w:rsid w:val="00774E28"/>
    <w:rsid w:val="007775F8"/>
    <w:rsid w:val="00777711"/>
    <w:rsid w:val="00781CBC"/>
    <w:rsid w:val="0078259F"/>
    <w:rsid w:val="00785D2F"/>
    <w:rsid w:val="0078634A"/>
    <w:rsid w:val="00787666"/>
    <w:rsid w:val="0079254C"/>
    <w:rsid w:val="007933C4"/>
    <w:rsid w:val="00794ED1"/>
    <w:rsid w:val="007950C1"/>
    <w:rsid w:val="00795AAF"/>
    <w:rsid w:val="00795F19"/>
    <w:rsid w:val="007A022A"/>
    <w:rsid w:val="007A1609"/>
    <w:rsid w:val="007A30B4"/>
    <w:rsid w:val="007A3401"/>
    <w:rsid w:val="007A4A5F"/>
    <w:rsid w:val="007A6EEF"/>
    <w:rsid w:val="007B19C7"/>
    <w:rsid w:val="007B2074"/>
    <w:rsid w:val="007B4C0E"/>
    <w:rsid w:val="007B6E2E"/>
    <w:rsid w:val="007B73B4"/>
    <w:rsid w:val="007C00EE"/>
    <w:rsid w:val="007C201E"/>
    <w:rsid w:val="007C20E4"/>
    <w:rsid w:val="007C50B5"/>
    <w:rsid w:val="007D4F83"/>
    <w:rsid w:val="007D55AE"/>
    <w:rsid w:val="007D5894"/>
    <w:rsid w:val="007D5B2E"/>
    <w:rsid w:val="007D7772"/>
    <w:rsid w:val="007E25A4"/>
    <w:rsid w:val="007E7650"/>
    <w:rsid w:val="007E780B"/>
    <w:rsid w:val="007F05C8"/>
    <w:rsid w:val="007F0A60"/>
    <w:rsid w:val="00801C51"/>
    <w:rsid w:val="00801DDE"/>
    <w:rsid w:val="00804CAB"/>
    <w:rsid w:val="00810A86"/>
    <w:rsid w:val="00812D5A"/>
    <w:rsid w:val="008134C4"/>
    <w:rsid w:val="008150C1"/>
    <w:rsid w:val="008153BD"/>
    <w:rsid w:val="008202F1"/>
    <w:rsid w:val="0082168D"/>
    <w:rsid w:val="00821779"/>
    <w:rsid w:val="00822736"/>
    <w:rsid w:val="00823B7E"/>
    <w:rsid w:val="00824403"/>
    <w:rsid w:val="00824CF1"/>
    <w:rsid w:val="008257E6"/>
    <w:rsid w:val="00825E80"/>
    <w:rsid w:val="00834E80"/>
    <w:rsid w:val="00835ACD"/>
    <w:rsid w:val="00840327"/>
    <w:rsid w:val="00844A7B"/>
    <w:rsid w:val="008455FF"/>
    <w:rsid w:val="00845A10"/>
    <w:rsid w:val="00847617"/>
    <w:rsid w:val="0085177F"/>
    <w:rsid w:val="0085211E"/>
    <w:rsid w:val="00852656"/>
    <w:rsid w:val="00852F37"/>
    <w:rsid w:val="00854D31"/>
    <w:rsid w:val="00854EDE"/>
    <w:rsid w:val="00860D36"/>
    <w:rsid w:val="00864421"/>
    <w:rsid w:val="0086590C"/>
    <w:rsid w:val="0086695D"/>
    <w:rsid w:val="00871804"/>
    <w:rsid w:val="008739AD"/>
    <w:rsid w:val="00875E93"/>
    <w:rsid w:val="00877DA8"/>
    <w:rsid w:val="008803F3"/>
    <w:rsid w:val="0088620E"/>
    <w:rsid w:val="00887C87"/>
    <w:rsid w:val="008918F7"/>
    <w:rsid w:val="00892442"/>
    <w:rsid w:val="00893A1C"/>
    <w:rsid w:val="00896221"/>
    <w:rsid w:val="008A15D5"/>
    <w:rsid w:val="008A2E3C"/>
    <w:rsid w:val="008A4614"/>
    <w:rsid w:val="008A6134"/>
    <w:rsid w:val="008A7CF8"/>
    <w:rsid w:val="008B2B85"/>
    <w:rsid w:val="008B4CF7"/>
    <w:rsid w:val="008C077D"/>
    <w:rsid w:val="008C0E61"/>
    <w:rsid w:val="008C462F"/>
    <w:rsid w:val="008C4B89"/>
    <w:rsid w:val="008D2535"/>
    <w:rsid w:val="008D3B23"/>
    <w:rsid w:val="008D7D92"/>
    <w:rsid w:val="008E196B"/>
    <w:rsid w:val="008E23A2"/>
    <w:rsid w:val="008E48DA"/>
    <w:rsid w:val="008E6275"/>
    <w:rsid w:val="008E7566"/>
    <w:rsid w:val="008F2930"/>
    <w:rsid w:val="008F4DA9"/>
    <w:rsid w:val="008F5D3A"/>
    <w:rsid w:val="00900391"/>
    <w:rsid w:val="0090056E"/>
    <w:rsid w:val="00900D83"/>
    <w:rsid w:val="00903C7D"/>
    <w:rsid w:val="009056E3"/>
    <w:rsid w:val="00905C59"/>
    <w:rsid w:val="009063D5"/>
    <w:rsid w:val="0091222A"/>
    <w:rsid w:val="0091327D"/>
    <w:rsid w:val="009154B7"/>
    <w:rsid w:val="009204CD"/>
    <w:rsid w:val="00924846"/>
    <w:rsid w:val="00925AA3"/>
    <w:rsid w:val="00932F31"/>
    <w:rsid w:val="00935026"/>
    <w:rsid w:val="009364F5"/>
    <w:rsid w:val="00941A64"/>
    <w:rsid w:val="00941E64"/>
    <w:rsid w:val="009451C9"/>
    <w:rsid w:val="0094732D"/>
    <w:rsid w:val="00947425"/>
    <w:rsid w:val="00953C9D"/>
    <w:rsid w:val="00955028"/>
    <w:rsid w:val="009566CA"/>
    <w:rsid w:val="0096318C"/>
    <w:rsid w:val="00964DFE"/>
    <w:rsid w:val="00966758"/>
    <w:rsid w:val="00967B0B"/>
    <w:rsid w:val="00971C54"/>
    <w:rsid w:val="0097489B"/>
    <w:rsid w:val="0097573C"/>
    <w:rsid w:val="009765CA"/>
    <w:rsid w:val="00976D81"/>
    <w:rsid w:val="00976DDB"/>
    <w:rsid w:val="00984603"/>
    <w:rsid w:val="00985056"/>
    <w:rsid w:val="00985E23"/>
    <w:rsid w:val="0099134E"/>
    <w:rsid w:val="009923FB"/>
    <w:rsid w:val="009938C7"/>
    <w:rsid w:val="009942E4"/>
    <w:rsid w:val="00995D09"/>
    <w:rsid w:val="00996427"/>
    <w:rsid w:val="009A1DDA"/>
    <w:rsid w:val="009A1EC2"/>
    <w:rsid w:val="009A2091"/>
    <w:rsid w:val="009A3D3E"/>
    <w:rsid w:val="009A54A4"/>
    <w:rsid w:val="009A5C3F"/>
    <w:rsid w:val="009A79A9"/>
    <w:rsid w:val="009B3815"/>
    <w:rsid w:val="009B5A39"/>
    <w:rsid w:val="009B693A"/>
    <w:rsid w:val="009C01FD"/>
    <w:rsid w:val="009C5078"/>
    <w:rsid w:val="009D1CDF"/>
    <w:rsid w:val="009D26E8"/>
    <w:rsid w:val="009D57AA"/>
    <w:rsid w:val="009D5C48"/>
    <w:rsid w:val="009D73B2"/>
    <w:rsid w:val="009E00AE"/>
    <w:rsid w:val="009E0D8C"/>
    <w:rsid w:val="009E1D96"/>
    <w:rsid w:val="009E270B"/>
    <w:rsid w:val="009E2B7D"/>
    <w:rsid w:val="009E423F"/>
    <w:rsid w:val="009E445F"/>
    <w:rsid w:val="009E4F6A"/>
    <w:rsid w:val="009E58ED"/>
    <w:rsid w:val="009F1E39"/>
    <w:rsid w:val="009F2933"/>
    <w:rsid w:val="009F4535"/>
    <w:rsid w:val="009F55B4"/>
    <w:rsid w:val="00A005A9"/>
    <w:rsid w:val="00A020F5"/>
    <w:rsid w:val="00A03005"/>
    <w:rsid w:val="00A0578C"/>
    <w:rsid w:val="00A05F7A"/>
    <w:rsid w:val="00A06C46"/>
    <w:rsid w:val="00A06F82"/>
    <w:rsid w:val="00A1022F"/>
    <w:rsid w:val="00A11040"/>
    <w:rsid w:val="00A121FF"/>
    <w:rsid w:val="00A1615F"/>
    <w:rsid w:val="00A17286"/>
    <w:rsid w:val="00A202A8"/>
    <w:rsid w:val="00A20A86"/>
    <w:rsid w:val="00A22E60"/>
    <w:rsid w:val="00A233E2"/>
    <w:rsid w:val="00A30E58"/>
    <w:rsid w:val="00A335F9"/>
    <w:rsid w:val="00A353BF"/>
    <w:rsid w:val="00A36859"/>
    <w:rsid w:val="00A377E7"/>
    <w:rsid w:val="00A44F42"/>
    <w:rsid w:val="00A450EE"/>
    <w:rsid w:val="00A471BC"/>
    <w:rsid w:val="00A47760"/>
    <w:rsid w:val="00A50DFE"/>
    <w:rsid w:val="00A5285A"/>
    <w:rsid w:val="00A5399A"/>
    <w:rsid w:val="00A54F6F"/>
    <w:rsid w:val="00A5647F"/>
    <w:rsid w:val="00A60210"/>
    <w:rsid w:val="00A62A8E"/>
    <w:rsid w:val="00A65B3D"/>
    <w:rsid w:val="00A66E91"/>
    <w:rsid w:val="00A67A6E"/>
    <w:rsid w:val="00A70E7B"/>
    <w:rsid w:val="00A712BE"/>
    <w:rsid w:val="00A7132A"/>
    <w:rsid w:val="00A71E61"/>
    <w:rsid w:val="00A74F15"/>
    <w:rsid w:val="00A77061"/>
    <w:rsid w:val="00A80D27"/>
    <w:rsid w:val="00A82337"/>
    <w:rsid w:val="00A82451"/>
    <w:rsid w:val="00A82608"/>
    <w:rsid w:val="00A83B1D"/>
    <w:rsid w:val="00A85BFE"/>
    <w:rsid w:val="00A925DF"/>
    <w:rsid w:val="00A94E84"/>
    <w:rsid w:val="00A95630"/>
    <w:rsid w:val="00AA16DC"/>
    <w:rsid w:val="00AA1FC0"/>
    <w:rsid w:val="00AA26E8"/>
    <w:rsid w:val="00AA33AD"/>
    <w:rsid w:val="00AA4782"/>
    <w:rsid w:val="00AB1C0D"/>
    <w:rsid w:val="00AB1C25"/>
    <w:rsid w:val="00AB4889"/>
    <w:rsid w:val="00AB4F2B"/>
    <w:rsid w:val="00AB62C1"/>
    <w:rsid w:val="00AC0C0C"/>
    <w:rsid w:val="00AC1AC0"/>
    <w:rsid w:val="00AC4CA4"/>
    <w:rsid w:val="00AC5B0C"/>
    <w:rsid w:val="00AD1836"/>
    <w:rsid w:val="00AD2D7D"/>
    <w:rsid w:val="00AE0425"/>
    <w:rsid w:val="00AE2E00"/>
    <w:rsid w:val="00AE3633"/>
    <w:rsid w:val="00AE65E6"/>
    <w:rsid w:val="00AE7C48"/>
    <w:rsid w:val="00AF1F6A"/>
    <w:rsid w:val="00AF2666"/>
    <w:rsid w:val="00AF2DEF"/>
    <w:rsid w:val="00AF66D9"/>
    <w:rsid w:val="00B02C84"/>
    <w:rsid w:val="00B040F0"/>
    <w:rsid w:val="00B06963"/>
    <w:rsid w:val="00B11291"/>
    <w:rsid w:val="00B12DE7"/>
    <w:rsid w:val="00B134C6"/>
    <w:rsid w:val="00B13D94"/>
    <w:rsid w:val="00B145BE"/>
    <w:rsid w:val="00B162D4"/>
    <w:rsid w:val="00B16DF1"/>
    <w:rsid w:val="00B16FAD"/>
    <w:rsid w:val="00B17D70"/>
    <w:rsid w:val="00B17D85"/>
    <w:rsid w:val="00B17F97"/>
    <w:rsid w:val="00B21537"/>
    <w:rsid w:val="00B222FE"/>
    <w:rsid w:val="00B2410B"/>
    <w:rsid w:val="00B25242"/>
    <w:rsid w:val="00B25D85"/>
    <w:rsid w:val="00B30CB2"/>
    <w:rsid w:val="00B31BE5"/>
    <w:rsid w:val="00B3569B"/>
    <w:rsid w:val="00B36D9E"/>
    <w:rsid w:val="00B37199"/>
    <w:rsid w:val="00B3743B"/>
    <w:rsid w:val="00B40132"/>
    <w:rsid w:val="00B408CC"/>
    <w:rsid w:val="00B40DCF"/>
    <w:rsid w:val="00B432E7"/>
    <w:rsid w:val="00B456AE"/>
    <w:rsid w:val="00B45800"/>
    <w:rsid w:val="00B51969"/>
    <w:rsid w:val="00B535E2"/>
    <w:rsid w:val="00B53913"/>
    <w:rsid w:val="00B54A9B"/>
    <w:rsid w:val="00B57E51"/>
    <w:rsid w:val="00B65175"/>
    <w:rsid w:val="00B715A2"/>
    <w:rsid w:val="00B73133"/>
    <w:rsid w:val="00B7449B"/>
    <w:rsid w:val="00B74DB2"/>
    <w:rsid w:val="00B7764B"/>
    <w:rsid w:val="00B805B4"/>
    <w:rsid w:val="00B857E0"/>
    <w:rsid w:val="00B87C26"/>
    <w:rsid w:val="00BA3C65"/>
    <w:rsid w:val="00BA5C5A"/>
    <w:rsid w:val="00BB0824"/>
    <w:rsid w:val="00BB1F7A"/>
    <w:rsid w:val="00BB2603"/>
    <w:rsid w:val="00BB3B08"/>
    <w:rsid w:val="00BB6ADD"/>
    <w:rsid w:val="00BB7F4D"/>
    <w:rsid w:val="00BC0D1B"/>
    <w:rsid w:val="00BC1C5E"/>
    <w:rsid w:val="00BC73D0"/>
    <w:rsid w:val="00BD0DD0"/>
    <w:rsid w:val="00BD4DDF"/>
    <w:rsid w:val="00BE1125"/>
    <w:rsid w:val="00BE1F00"/>
    <w:rsid w:val="00BE711C"/>
    <w:rsid w:val="00BE76F8"/>
    <w:rsid w:val="00BF1560"/>
    <w:rsid w:val="00BF227C"/>
    <w:rsid w:val="00BF5439"/>
    <w:rsid w:val="00BF7F3C"/>
    <w:rsid w:val="00C01223"/>
    <w:rsid w:val="00C013AE"/>
    <w:rsid w:val="00C013B6"/>
    <w:rsid w:val="00C027A9"/>
    <w:rsid w:val="00C02C3A"/>
    <w:rsid w:val="00C16589"/>
    <w:rsid w:val="00C16E5A"/>
    <w:rsid w:val="00C210EF"/>
    <w:rsid w:val="00C21885"/>
    <w:rsid w:val="00C23212"/>
    <w:rsid w:val="00C26014"/>
    <w:rsid w:val="00C26543"/>
    <w:rsid w:val="00C335FC"/>
    <w:rsid w:val="00C35297"/>
    <w:rsid w:val="00C4340E"/>
    <w:rsid w:val="00C43C69"/>
    <w:rsid w:val="00C45457"/>
    <w:rsid w:val="00C45BE9"/>
    <w:rsid w:val="00C50D01"/>
    <w:rsid w:val="00C52A95"/>
    <w:rsid w:val="00C550E7"/>
    <w:rsid w:val="00C56062"/>
    <w:rsid w:val="00C570CB"/>
    <w:rsid w:val="00C6020F"/>
    <w:rsid w:val="00C61109"/>
    <w:rsid w:val="00C62464"/>
    <w:rsid w:val="00C64AF4"/>
    <w:rsid w:val="00C64DA1"/>
    <w:rsid w:val="00C65365"/>
    <w:rsid w:val="00C67375"/>
    <w:rsid w:val="00C73232"/>
    <w:rsid w:val="00C746C0"/>
    <w:rsid w:val="00C74C34"/>
    <w:rsid w:val="00C77939"/>
    <w:rsid w:val="00C77974"/>
    <w:rsid w:val="00C77F58"/>
    <w:rsid w:val="00C82E50"/>
    <w:rsid w:val="00C85402"/>
    <w:rsid w:val="00C92D3B"/>
    <w:rsid w:val="00C930BE"/>
    <w:rsid w:val="00C96D42"/>
    <w:rsid w:val="00CA10D8"/>
    <w:rsid w:val="00CA1DCF"/>
    <w:rsid w:val="00CA2E48"/>
    <w:rsid w:val="00CA3A75"/>
    <w:rsid w:val="00CA48DE"/>
    <w:rsid w:val="00CA71A4"/>
    <w:rsid w:val="00CB0586"/>
    <w:rsid w:val="00CB13FD"/>
    <w:rsid w:val="00CB17B3"/>
    <w:rsid w:val="00CB3B6A"/>
    <w:rsid w:val="00CB4AB5"/>
    <w:rsid w:val="00CB54B6"/>
    <w:rsid w:val="00CC1016"/>
    <w:rsid w:val="00CC1960"/>
    <w:rsid w:val="00CC2A60"/>
    <w:rsid w:val="00CC5C8B"/>
    <w:rsid w:val="00CC7522"/>
    <w:rsid w:val="00CC7F26"/>
    <w:rsid w:val="00CD2D1B"/>
    <w:rsid w:val="00CD5362"/>
    <w:rsid w:val="00CD5CA7"/>
    <w:rsid w:val="00CD66B8"/>
    <w:rsid w:val="00CD7677"/>
    <w:rsid w:val="00CE0E68"/>
    <w:rsid w:val="00CE42E8"/>
    <w:rsid w:val="00CF079B"/>
    <w:rsid w:val="00CF26E6"/>
    <w:rsid w:val="00CF75CF"/>
    <w:rsid w:val="00D03849"/>
    <w:rsid w:val="00D13236"/>
    <w:rsid w:val="00D14405"/>
    <w:rsid w:val="00D17359"/>
    <w:rsid w:val="00D22776"/>
    <w:rsid w:val="00D2367C"/>
    <w:rsid w:val="00D23BD6"/>
    <w:rsid w:val="00D24467"/>
    <w:rsid w:val="00D26359"/>
    <w:rsid w:val="00D2696B"/>
    <w:rsid w:val="00D31412"/>
    <w:rsid w:val="00D318C1"/>
    <w:rsid w:val="00D33847"/>
    <w:rsid w:val="00D34200"/>
    <w:rsid w:val="00D40B0A"/>
    <w:rsid w:val="00D417A8"/>
    <w:rsid w:val="00D44051"/>
    <w:rsid w:val="00D453AF"/>
    <w:rsid w:val="00D45E40"/>
    <w:rsid w:val="00D46E39"/>
    <w:rsid w:val="00D52170"/>
    <w:rsid w:val="00D53FF4"/>
    <w:rsid w:val="00D5448F"/>
    <w:rsid w:val="00D60046"/>
    <w:rsid w:val="00D605A5"/>
    <w:rsid w:val="00D61A59"/>
    <w:rsid w:val="00D62A2C"/>
    <w:rsid w:val="00D65BC5"/>
    <w:rsid w:val="00D707CB"/>
    <w:rsid w:val="00D71C86"/>
    <w:rsid w:val="00D72412"/>
    <w:rsid w:val="00D73205"/>
    <w:rsid w:val="00D73579"/>
    <w:rsid w:val="00D73B66"/>
    <w:rsid w:val="00D81172"/>
    <w:rsid w:val="00D82AE2"/>
    <w:rsid w:val="00D82D77"/>
    <w:rsid w:val="00D8326A"/>
    <w:rsid w:val="00D83C6B"/>
    <w:rsid w:val="00D85C36"/>
    <w:rsid w:val="00D86D6B"/>
    <w:rsid w:val="00D87062"/>
    <w:rsid w:val="00D93ABC"/>
    <w:rsid w:val="00D95FF7"/>
    <w:rsid w:val="00D970E7"/>
    <w:rsid w:val="00DA0E24"/>
    <w:rsid w:val="00DA2CDF"/>
    <w:rsid w:val="00DB05C8"/>
    <w:rsid w:val="00DB0667"/>
    <w:rsid w:val="00DB5D7E"/>
    <w:rsid w:val="00DB60D1"/>
    <w:rsid w:val="00DC0282"/>
    <w:rsid w:val="00DC128B"/>
    <w:rsid w:val="00DC3ADD"/>
    <w:rsid w:val="00DC3B6D"/>
    <w:rsid w:val="00DC46C5"/>
    <w:rsid w:val="00DC5700"/>
    <w:rsid w:val="00DC57B6"/>
    <w:rsid w:val="00DC7631"/>
    <w:rsid w:val="00DD10ED"/>
    <w:rsid w:val="00DD5A29"/>
    <w:rsid w:val="00DE3ED6"/>
    <w:rsid w:val="00DE41C8"/>
    <w:rsid w:val="00DE5A88"/>
    <w:rsid w:val="00DF2918"/>
    <w:rsid w:val="00DF3356"/>
    <w:rsid w:val="00DF47CE"/>
    <w:rsid w:val="00E04D10"/>
    <w:rsid w:val="00E05590"/>
    <w:rsid w:val="00E07E0F"/>
    <w:rsid w:val="00E147BB"/>
    <w:rsid w:val="00E16D3A"/>
    <w:rsid w:val="00E17F86"/>
    <w:rsid w:val="00E21661"/>
    <w:rsid w:val="00E23E6B"/>
    <w:rsid w:val="00E259FA"/>
    <w:rsid w:val="00E27D79"/>
    <w:rsid w:val="00E3139C"/>
    <w:rsid w:val="00E319C0"/>
    <w:rsid w:val="00E3390E"/>
    <w:rsid w:val="00E343A3"/>
    <w:rsid w:val="00E418D9"/>
    <w:rsid w:val="00E41F8A"/>
    <w:rsid w:val="00E429C6"/>
    <w:rsid w:val="00E43E49"/>
    <w:rsid w:val="00E43F83"/>
    <w:rsid w:val="00E460B4"/>
    <w:rsid w:val="00E47A4F"/>
    <w:rsid w:val="00E50419"/>
    <w:rsid w:val="00E5191B"/>
    <w:rsid w:val="00E55CB2"/>
    <w:rsid w:val="00E56D42"/>
    <w:rsid w:val="00E6351B"/>
    <w:rsid w:val="00E724F3"/>
    <w:rsid w:val="00E735C5"/>
    <w:rsid w:val="00E74112"/>
    <w:rsid w:val="00E75460"/>
    <w:rsid w:val="00E75ED9"/>
    <w:rsid w:val="00E76C1A"/>
    <w:rsid w:val="00E77B1C"/>
    <w:rsid w:val="00E77BDE"/>
    <w:rsid w:val="00E84DE8"/>
    <w:rsid w:val="00E87253"/>
    <w:rsid w:val="00E90230"/>
    <w:rsid w:val="00E95231"/>
    <w:rsid w:val="00E97CEB"/>
    <w:rsid w:val="00EA2812"/>
    <w:rsid w:val="00EA439D"/>
    <w:rsid w:val="00EA5D4E"/>
    <w:rsid w:val="00EA6633"/>
    <w:rsid w:val="00EB08D0"/>
    <w:rsid w:val="00EB094B"/>
    <w:rsid w:val="00EB20CA"/>
    <w:rsid w:val="00EB333B"/>
    <w:rsid w:val="00EB3A88"/>
    <w:rsid w:val="00EB74CD"/>
    <w:rsid w:val="00EC1573"/>
    <w:rsid w:val="00EC791A"/>
    <w:rsid w:val="00ED0045"/>
    <w:rsid w:val="00ED505C"/>
    <w:rsid w:val="00EE07DA"/>
    <w:rsid w:val="00EE5881"/>
    <w:rsid w:val="00EF1A5D"/>
    <w:rsid w:val="00EF1D38"/>
    <w:rsid w:val="00EF28BE"/>
    <w:rsid w:val="00EF3C0D"/>
    <w:rsid w:val="00F00D37"/>
    <w:rsid w:val="00F01BCA"/>
    <w:rsid w:val="00F061A5"/>
    <w:rsid w:val="00F06D7D"/>
    <w:rsid w:val="00F10B38"/>
    <w:rsid w:val="00F17703"/>
    <w:rsid w:val="00F30217"/>
    <w:rsid w:val="00F305B2"/>
    <w:rsid w:val="00F30892"/>
    <w:rsid w:val="00F33904"/>
    <w:rsid w:val="00F343C1"/>
    <w:rsid w:val="00F355AE"/>
    <w:rsid w:val="00F36160"/>
    <w:rsid w:val="00F37267"/>
    <w:rsid w:val="00F412A8"/>
    <w:rsid w:val="00F41E8B"/>
    <w:rsid w:val="00F46404"/>
    <w:rsid w:val="00F46CA3"/>
    <w:rsid w:val="00F50062"/>
    <w:rsid w:val="00F5021C"/>
    <w:rsid w:val="00F50E5D"/>
    <w:rsid w:val="00F518D5"/>
    <w:rsid w:val="00F51D6B"/>
    <w:rsid w:val="00F553C7"/>
    <w:rsid w:val="00F56687"/>
    <w:rsid w:val="00F57AD5"/>
    <w:rsid w:val="00F60C6C"/>
    <w:rsid w:val="00F61781"/>
    <w:rsid w:val="00F617F7"/>
    <w:rsid w:val="00F6585C"/>
    <w:rsid w:val="00F65D5C"/>
    <w:rsid w:val="00F666B6"/>
    <w:rsid w:val="00F70234"/>
    <w:rsid w:val="00F71017"/>
    <w:rsid w:val="00F73C1A"/>
    <w:rsid w:val="00F75924"/>
    <w:rsid w:val="00F761D8"/>
    <w:rsid w:val="00F80293"/>
    <w:rsid w:val="00F818AD"/>
    <w:rsid w:val="00F85B9D"/>
    <w:rsid w:val="00F867AC"/>
    <w:rsid w:val="00F96391"/>
    <w:rsid w:val="00F979FF"/>
    <w:rsid w:val="00FA0D22"/>
    <w:rsid w:val="00FA2D39"/>
    <w:rsid w:val="00FA50F9"/>
    <w:rsid w:val="00FA5975"/>
    <w:rsid w:val="00FA59B7"/>
    <w:rsid w:val="00FA69EB"/>
    <w:rsid w:val="00FB120D"/>
    <w:rsid w:val="00FB19B8"/>
    <w:rsid w:val="00FB3D25"/>
    <w:rsid w:val="00FB4D25"/>
    <w:rsid w:val="00FB593B"/>
    <w:rsid w:val="00FB67F8"/>
    <w:rsid w:val="00FB7B34"/>
    <w:rsid w:val="00FB7D3A"/>
    <w:rsid w:val="00FB7D8F"/>
    <w:rsid w:val="00FC01AA"/>
    <w:rsid w:val="00FC03ED"/>
    <w:rsid w:val="00FC4920"/>
    <w:rsid w:val="00FC7633"/>
    <w:rsid w:val="00FD0E4C"/>
    <w:rsid w:val="00FD2E88"/>
    <w:rsid w:val="00FD3A0D"/>
    <w:rsid w:val="00FD3C36"/>
    <w:rsid w:val="00FD4802"/>
    <w:rsid w:val="00FD4D2F"/>
    <w:rsid w:val="00FD6F9E"/>
    <w:rsid w:val="00FD7FFC"/>
    <w:rsid w:val="00FE190F"/>
    <w:rsid w:val="00FE22CD"/>
    <w:rsid w:val="00FE278F"/>
    <w:rsid w:val="00FE42D5"/>
    <w:rsid w:val="00FE7CE2"/>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uiPriority w:val="99"/>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basedOn w:val="a0"/>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basedOn w:val="a0"/>
    <w:uiPriority w:val="99"/>
    <w:semiHidden/>
    <w:unhideWhenUsed/>
    <w:rsid w:val="00852656"/>
    <w:rPr>
      <w:color w:val="800080" w:themeColor="followedHyperlink"/>
      <w:u w:val="single"/>
    </w:rPr>
  </w:style>
  <w:style w:type="character" w:styleId="af4">
    <w:name w:val="annotation reference"/>
    <w:basedOn w:val="a0"/>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ечания Знак"/>
    <w:basedOn w:val="a0"/>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ечания Знак"/>
    <w:basedOn w:val="af6"/>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basedOn w:val="a0"/>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after="0" w:line="210" w:lineRule="atLeast"/>
      <w:ind w:firstLine="454"/>
      <w:jc w:val="both"/>
    </w:pPr>
    <w:rPr>
      <w:rFonts w:ascii="Times New Roman" w:eastAsia="Times New Roman" w:hAnsi="Times New Roman" w:cs="Times New Roman"/>
      <w:color w:val="000000"/>
      <w:sz w:val="20"/>
      <w:szCs w:val="20"/>
      <w:lang w:val="en-US" w:eastAsia="ru-RU"/>
    </w:rPr>
  </w:style>
  <w:style w:type="paragraph" w:customStyle="1" w:styleId="docdata">
    <w:name w:val="docdata"/>
    <w:aliases w:val="docy,v5,4500,baiaagaaboqcaaadyw0aaavxdqaaaaaaaaaaaaaaaaaaaaaaaaaaaaaaaaaaaaaaaaaaaaaaaaaaaaaaaaaaaaaaaaaaaaaaaaaaaaaaaaaaaaaaaaaaaaaaaaaaaaaaaaaaaaaaaaaaaaaaaaaaaaaaaaaaaaaaaaaaaaaaaaaaaaaaaaaaaaaaaaaaaaaaaaaaaaaaaaaaaaaaaaaaaaaaaaaaaaaaaaaaaaaa"/>
    <w:basedOn w:val="a"/>
    <w:rsid w:val="00295C72"/>
    <w:pPr>
      <w:spacing w:before="100" w:beforeAutospacing="1" w:after="100" w:afterAutospacing="1"/>
    </w:pPr>
  </w:style>
  <w:style w:type="character" w:customStyle="1" w:styleId="afd">
    <w:name w:val="Другое_"/>
    <w:basedOn w:val="a0"/>
    <w:link w:val="afe"/>
    <w:rsid w:val="00295C72"/>
    <w:rPr>
      <w:rFonts w:ascii="Times New Roman" w:eastAsia="Times New Roman" w:hAnsi="Times New Roman" w:cs="Times New Roman"/>
      <w:color w:val="1D1D1D"/>
      <w:sz w:val="20"/>
      <w:szCs w:val="20"/>
    </w:rPr>
  </w:style>
  <w:style w:type="paragraph" w:customStyle="1" w:styleId="afe">
    <w:name w:val="Другое"/>
    <w:basedOn w:val="a"/>
    <w:link w:val="afd"/>
    <w:rsid w:val="00295C72"/>
    <w:pPr>
      <w:widowControl w:val="0"/>
    </w:pPr>
    <w:rPr>
      <w:color w:val="1D1D1D"/>
      <w:sz w:val="20"/>
      <w:szCs w:val="20"/>
      <w:lang w:val="ru-RU" w:eastAsia="en-US"/>
    </w:rPr>
  </w:style>
  <w:style w:type="character" w:customStyle="1" w:styleId="aff">
    <w:name w:val="Основной текст + Не полужирный"/>
    <w:aliases w:val="Интервал 0 pt"/>
    <w:basedOn w:val="a0"/>
    <w:uiPriority w:val="99"/>
    <w:rsid w:val="00295C72"/>
    <w:rPr>
      <w:rFonts w:ascii="Times New Roman" w:hAnsi="Times New Roman" w:cs="Times New Roman"/>
      <w:b/>
      <w:bCs/>
      <w:color w:val="000000"/>
      <w:spacing w:val="6"/>
      <w:w w:val="100"/>
      <w:position w:val="0"/>
      <w:sz w:val="19"/>
      <w:szCs w:val="19"/>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uiPriority w:val="99"/>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basedOn w:val="a0"/>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basedOn w:val="a0"/>
    <w:uiPriority w:val="99"/>
    <w:semiHidden/>
    <w:unhideWhenUsed/>
    <w:rsid w:val="00852656"/>
    <w:rPr>
      <w:color w:val="800080" w:themeColor="followedHyperlink"/>
      <w:u w:val="single"/>
    </w:rPr>
  </w:style>
  <w:style w:type="character" w:styleId="af4">
    <w:name w:val="annotation reference"/>
    <w:basedOn w:val="a0"/>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ечания Знак"/>
    <w:basedOn w:val="a0"/>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ечания Знак"/>
    <w:basedOn w:val="af6"/>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basedOn w:val="a0"/>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after="0" w:line="210" w:lineRule="atLeast"/>
      <w:ind w:firstLine="454"/>
      <w:jc w:val="both"/>
    </w:pPr>
    <w:rPr>
      <w:rFonts w:ascii="Times New Roman" w:eastAsia="Times New Roman" w:hAnsi="Times New Roman" w:cs="Times New Roman"/>
      <w:color w:val="000000"/>
      <w:sz w:val="20"/>
      <w:szCs w:val="20"/>
      <w:lang w:val="en-US" w:eastAsia="ru-RU"/>
    </w:rPr>
  </w:style>
  <w:style w:type="paragraph" w:customStyle="1" w:styleId="docdata">
    <w:name w:val="docdata"/>
    <w:aliases w:val="docy,v5,4500,baiaagaaboqcaaadyw0aaavxdqaaaaaaaaaaaaaaaaaaaaaaaaaaaaaaaaaaaaaaaaaaaaaaaaaaaaaaaaaaaaaaaaaaaaaaaaaaaaaaaaaaaaaaaaaaaaaaaaaaaaaaaaaaaaaaaaaaaaaaaaaaaaaaaaaaaaaaaaaaaaaaaaaaaaaaaaaaaaaaaaaaaaaaaaaaaaaaaaaaaaaaaaaaaaaaaaaaaaaaaaaaaaaa"/>
    <w:basedOn w:val="a"/>
    <w:rsid w:val="00295C72"/>
    <w:pPr>
      <w:spacing w:before="100" w:beforeAutospacing="1" w:after="100" w:afterAutospacing="1"/>
    </w:pPr>
  </w:style>
  <w:style w:type="character" w:customStyle="1" w:styleId="afd">
    <w:name w:val="Другое_"/>
    <w:basedOn w:val="a0"/>
    <w:link w:val="afe"/>
    <w:rsid w:val="00295C72"/>
    <w:rPr>
      <w:rFonts w:ascii="Times New Roman" w:eastAsia="Times New Roman" w:hAnsi="Times New Roman" w:cs="Times New Roman"/>
      <w:color w:val="1D1D1D"/>
      <w:sz w:val="20"/>
      <w:szCs w:val="20"/>
    </w:rPr>
  </w:style>
  <w:style w:type="paragraph" w:customStyle="1" w:styleId="afe">
    <w:name w:val="Другое"/>
    <w:basedOn w:val="a"/>
    <w:link w:val="afd"/>
    <w:rsid w:val="00295C72"/>
    <w:pPr>
      <w:widowControl w:val="0"/>
    </w:pPr>
    <w:rPr>
      <w:color w:val="1D1D1D"/>
      <w:sz w:val="20"/>
      <w:szCs w:val="20"/>
      <w:lang w:val="ru-RU" w:eastAsia="en-US"/>
    </w:rPr>
  </w:style>
  <w:style w:type="character" w:customStyle="1" w:styleId="aff">
    <w:name w:val="Основной текст + Не полужирный"/>
    <w:aliases w:val="Интервал 0 pt"/>
    <w:basedOn w:val="a0"/>
    <w:uiPriority w:val="99"/>
    <w:rsid w:val="00295C72"/>
    <w:rPr>
      <w:rFonts w:ascii="Times New Roman" w:hAnsi="Times New Roman" w:cs="Times New Roman"/>
      <w:b/>
      <w:bCs/>
      <w:color w:val="000000"/>
      <w:spacing w:val="6"/>
      <w:w w:val="100"/>
      <w:position w:val="0"/>
      <w:sz w:val="19"/>
      <w:szCs w:val="19"/>
      <w:u w:val="no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25F98-F44E-49AD-98D4-9FB04611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13187</Words>
  <Characters>75172</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Будькова Ольга Василівна</cp:lastModifiedBy>
  <cp:revision>3</cp:revision>
  <cp:lastPrinted>2021-08-16T12:42:00Z</cp:lastPrinted>
  <dcterms:created xsi:type="dcterms:W3CDTF">2021-08-12T08:34:00Z</dcterms:created>
  <dcterms:modified xsi:type="dcterms:W3CDTF">2021-08-16T12:42:00Z</dcterms:modified>
</cp:coreProperties>
</file>