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8D" w:rsidRPr="00EB3A0A" w:rsidRDefault="00C81F8D" w:rsidP="0019512B">
      <w:pPr>
        <w:jc w:val="center"/>
        <w:rPr>
          <w:sz w:val="16"/>
          <w:szCs w:val="16"/>
        </w:rPr>
      </w:pPr>
      <w:bookmarkStart w:id="0" w:name="_GoBack"/>
      <w:bookmarkEnd w:id="0"/>
    </w:p>
    <w:p w:rsidR="00E37833" w:rsidRPr="001443FE" w:rsidRDefault="002844F4" w:rsidP="0019512B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1505" cy="675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833" w:rsidRPr="001443FE" w:rsidRDefault="00E37833" w:rsidP="0019512B">
      <w:pPr>
        <w:jc w:val="center"/>
        <w:rPr>
          <w:sz w:val="16"/>
          <w:szCs w:val="16"/>
        </w:rPr>
      </w:pPr>
    </w:p>
    <w:p w:rsidR="00E37833" w:rsidRPr="001443FE" w:rsidRDefault="00E37833" w:rsidP="0019512B">
      <w:pPr>
        <w:jc w:val="center"/>
        <w:rPr>
          <w:b/>
          <w:sz w:val="32"/>
          <w:szCs w:val="32"/>
        </w:rPr>
      </w:pPr>
      <w:r w:rsidRPr="001443FE">
        <w:rPr>
          <w:b/>
          <w:sz w:val="32"/>
          <w:szCs w:val="32"/>
        </w:rPr>
        <w:t>АНТИМОНОПОЛЬНИЙ  КОМІТЕТ  УКРАЇНИ</w:t>
      </w:r>
    </w:p>
    <w:p w:rsidR="00E37833" w:rsidRPr="001443FE" w:rsidRDefault="00E37833" w:rsidP="0019512B">
      <w:pPr>
        <w:tabs>
          <w:tab w:val="left" w:leader="hyphen" w:pos="10206"/>
        </w:tabs>
        <w:jc w:val="center"/>
      </w:pPr>
    </w:p>
    <w:p w:rsidR="00E37833" w:rsidRPr="001443FE" w:rsidRDefault="00E37833" w:rsidP="0019512B">
      <w:pPr>
        <w:jc w:val="center"/>
        <w:rPr>
          <w:b/>
          <w:sz w:val="32"/>
          <w:szCs w:val="32"/>
        </w:rPr>
      </w:pPr>
      <w:r w:rsidRPr="001443FE">
        <w:rPr>
          <w:b/>
          <w:sz w:val="32"/>
          <w:szCs w:val="32"/>
        </w:rPr>
        <w:t>РІШЕННЯ</w:t>
      </w:r>
    </w:p>
    <w:p w:rsidR="009136B8" w:rsidRPr="001443FE" w:rsidRDefault="009136B8" w:rsidP="0019512B">
      <w:pPr>
        <w:tabs>
          <w:tab w:val="left" w:leader="hyphen" w:pos="10206"/>
        </w:tabs>
        <w:jc w:val="center"/>
      </w:pPr>
    </w:p>
    <w:p w:rsidR="00E37833" w:rsidRPr="001443FE" w:rsidRDefault="000E3F1D" w:rsidP="0019512B">
      <w:pPr>
        <w:tabs>
          <w:tab w:val="left" w:leader="hyphen" w:pos="10206"/>
        </w:tabs>
      </w:pPr>
      <w:r w:rsidRPr="001443FE">
        <w:t>13</w:t>
      </w:r>
      <w:r w:rsidR="00C1616C" w:rsidRPr="001443FE">
        <w:t xml:space="preserve"> </w:t>
      </w:r>
      <w:r w:rsidRPr="001443FE">
        <w:t xml:space="preserve">серпня </w:t>
      </w:r>
      <w:r w:rsidR="009136B8" w:rsidRPr="001443FE">
        <w:t>20</w:t>
      </w:r>
      <w:r w:rsidR="00207E2F" w:rsidRPr="001443FE">
        <w:t>20</w:t>
      </w:r>
      <w:r w:rsidR="009136B8" w:rsidRPr="001443FE">
        <w:t xml:space="preserve"> р.</w:t>
      </w:r>
      <w:r w:rsidR="002468E5" w:rsidRPr="001443FE">
        <w:t xml:space="preserve">          </w:t>
      </w:r>
      <w:r w:rsidR="008F1BEF" w:rsidRPr="001443FE">
        <w:t xml:space="preserve">                             </w:t>
      </w:r>
      <w:r w:rsidR="007201B0" w:rsidRPr="001443FE">
        <w:t xml:space="preserve">  </w:t>
      </w:r>
      <w:r w:rsidR="00C1616C" w:rsidRPr="001443FE">
        <w:t xml:space="preserve">  </w:t>
      </w:r>
      <w:r w:rsidR="00C81F8D" w:rsidRPr="001443FE">
        <w:t xml:space="preserve"> </w:t>
      </w:r>
      <w:r w:rsidR="00EB3A0A" w:rsidRPr="001443FE">
        <w:t xml:space="preserve">   </w:t>
      </w:r>
      <w:r w:rsidR="00E37833" w:rsidRPr="001443FE">
        <w:t xml:space="preserve">Київ                      </w:t>
      </w:r>
      <w:r w:rsidR="009136B8" w:rsidRPr="001443FE">
        <w:t xml:space="preserve">                   </w:t>
      </w:r>
      <w:r w:rsidR="00C81F8D" w:rsidRPr="001443FE">
        <w:t xml:space="preserve">              </w:t>
      </w:r>
      <w:r w:rsidR="00EB3A0A" w:rsidRPr="001443FE">
        <w:t xml:space="preserve">       </w:t>
      </w:r>
      <w:r w:rsidR="00E37833" w:rsidRPr="001443FE">
        <w:t>№</w:t>
      </w:r>
      <w:r w:rsidR="002468E5" w:rsidRPr="001443FE">
        <w:t xml:space="preserve"> </w:t>
      </w:r>
      <w:r w:rsidRPr="001443FE">
        <w:t>495-р</w:t>
      </w:r>
    </w:p>
    <w:p w:rsidR="00E37833" w:rsidRPr="001443FE" w:rsidRDefault="00E37833" w:rsidP="0019512B">
      <w:pPr>
        <w:tabs>
          <w:tab w:val="left" w:leader="hyphen" w:pos="10206"/>
        </w:tabs>
      </w:pPr>
    </w:p>
    <w:p w:rsidR="00B65AB7" w:rsidRPr="001443FE" w:rsidRDefault="00E37833" w:rsidP="0019512B">
      <w:pPr>
        <w:pStyle w:val="a3"/>
        <w:tabs>
          <w:tab w:val="left" w:pos="567"/>
        </w:tabs>
        <w:spacing w:before="0" w:beforeAutospacing="0" w:after="0" w:afterAutospacing="0"/>
        <w:jc w:val="both"/>
      </w:pPr>
      <w:r w:rsidRPr="001443FE">
        <w:t xml:space="preserve">Про </w:t>
      </w:r>
      <w:r w:rsidR="003C2220" w:rsidRPr="001443FE">
        <w:t>закриття п</w:t>
      </w:r>
      <w:r w:rsidR="00912960" w:rsidRPr="001443FE">
        <w:t>ровадження</w:t>
      </w:r>
    </w:p>
    <w:p w:rsidR="00E37833" w:rsidRPr="001443FE" w:rsidRDefault="003B217E" w:rsidP="0019512B">
      <w:pPr>
        <w:pStyle w:val="a3"/>
        <w:tabs>
          <w:tab w:val="left" w:pos="567"/>
        </w:tabs>
        <w:spacing w:before="0" w:beforeAutospacing="0" w:after="0" w:afterAutospacing="0"/>
        <w:jc w:val="both"/>
      </w:pPr>
      <w:r w:rsidRPr="001443FE">
        <w:t>у справі</w:t>
      </w:r>
    </w:p>
    <w:p w:rsidR="00B65AB7" w:rsidRPr="001443FE" w:rsidRDefault="00B65AB7" w:rsidP="0019512B">
      <w:pPr>
        <w:pStyle w:val="a3"/>
        <w:tabs>
          <w:tab w:val="left" w:pos="567"/>
        </w:tabs>
        <w:spacing w:before="0" w:beforeAutospacing="0" w:after="0" w:afterAutospacing="0"/>
        <w:jc w:val="both"/>
      </w:pPr>
    </w:p>
    <w:p w:rsidR="007D486A" w:rsidRPr="001443FE" w:rsidRDefault="007D486A" w:rsidP="0019512B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</w:pPr>
      <w:r w:rsidRPr="001443FE">
        <w:t>Антимонопольний комітет України</w:t>
      </w:r>
      <w:r w:rsidR="00F729E7" w:rsidRPr="001443FE">
        <w:t xml:space="preserve"> (далі – Комітет)</w:t>
      </w:r>
      <w:r w:rsidRPr="001443FE">
        <w:t xml:space="preserve">, розглянувши матеріали справи </w:t>
      </w:r>
      <w:r w:rsidR="00F729E7" w:rsidRPr="001443FE">
        <w:br/>
      </w:r>
      <w:r w:rsidRPr="001443FE">
        <w:t>№ 127-26.</w:t>
      </w:r>
      <w:r w:rsidR="007E53F4" w:rsidRPr="001443FE">
        <w:t>13</w:t>
      </w:r>
      <w:r w:rsidRPr="001443FE">
        <w:t>/</w:t>
      </w:r>
      <w:r w:rsidR="007E53F4" w:rsidRPr="001443FE">
        <w:t>56</w:t>
      </w:r>
      <w:r w:rsidRPr="001443FE">
        <w:t xml:space="preserve">-18 про порушення </w:t>
      </w:r>
      <w:r w:rsidR="007E53F4" w:rsidRPr="001443FE">
        <w:t>товариством з обмеженою відповідальністю «Торгівельно-промислова компанія «НАК» (м. Львів, ідентифікаційний код юридичної особи 31073990)</w:t>
      </w:r>
      <w:r w:rsidRPr="001443FE">
        <w:t xml:space="preserve"> законодавства про захист </w:t>
      </w:r>
      <w:r w:rsidR="007E53F4" w:rsidRPr="001443FE">
        <w:t xml:space="preserve">економічної </w:t>
      </w:r>
      <w:r w:rsidRPr="001443FE">
        <w:t xml:space="preserve">конкуренції та подання Управління розслідувань недобросовісної конкуренції від </w:t>
      </w:r>
      <w:r w:rsidR="007E53F4" w:rsidRPr="001443FE">
        <w:t>13</w:t>
      </w:r>
      <w:r w:rsidRPr="001443FE">
        <w:t>.</w:t>
      </w:r>
      <w:r w:rsidR="007E53F4" w:rsidRPr="001443FE">
        <w:t>12</w:t>
      </w:r>
      <w:r w:rsidRPr="001443FE">
        <w:t>.20</w:t>
      </w:r>
      <w:r w:rsidR="007E53F4" w:rsidRPr="001443FE">
        <w:t>19</w:t>
      </w:r>
      <w:r w:rsidRPr="001443FE">
        <w:t xml:space="preserve"> № 127-26.</w:t>
      </w:r>
      <w:r w:rsidR="007E53F4" w:rsidRPr="001443FE">
        <w:t>13</w:t>
      </w:r>
      <w:r w:rsidRPr="001443FE">
        <w:t>/</w:t>
      </w:r>
      <w:r w:rsidR="007E53F4" w:rsidRPr="001443FE">
        <w:t>56</w:t>
      </w:r>
      <w:r w:rsidRPr="001443FE">
        <w:t>-18/</w:t>
      </w:r>
      <w:r w:rsidR="007E53F4" w:rsidRPr="001443FE">
        <w:t>557</w:t>
      </w:r>
      <w:r w:rsidRPr="001443FE">
        <w:t>-спр,</w:t>
      </w:r>
    </w:p>
    <w:p w:rsidR="00B65AB7" w:rsidRPr="001443FE" w:rsidRDefault="00B65AB7" w:rsidP="0019512B">
      <w:pPr>
        <w:pStyle w:val="a3"/>
        <w:tabs>
          <w:tab w:val="left" w:pos="567"/>
        </w:tabs>
        <w:spacing w:before="0" w:beforeAutospacing="0" w:after="0" w:afterAutospacing="0"/>
        <w:jc w:val="center"/>
      </w:pPr>
    </w:p>
    <w:p w:rsidR="00E37833" w:rsidRPr="001443FE" w:rsidRDefault="00E37833" w:rsidP="0019512B">
      <w:pPr>
        <w:jc w:val="center"/>
        <w:outlineLvl w:val="0"/>
        <w:rPr>
          <w:b/>
          <w:sz w:val="28"/>
          <w:szCs w:val="28"/>
        </w:rPr>
      </w:pPr>
      <w:r w:rsidRPr="001443FE">
        <w:rPr>
          <w:b/>
          <w:sz w:val="28"/>
          <w:szCs w:val="28"/>
        </w:rPr>
        <w:t>ВСТАНОВИВ:</w:t>
      </w:r>
    </w:p>
    <w:p w:rsidR="00B65AB7" w:rsidRPr="001443FE" w:rsidRDefault="00B65AB7" w:rsidP="0019512B">
      <w:pPr>
        <w:jc w:val="center"/>
        <w:outlineLvl w:val="0"/>
      </w:pPr>
    </w:p>
    <w:p w:rsidR="00E37833" w:rsidRPr="001443FE" w:rsidRDefault="00E37833" w:rsidP="0019512B">
      <w:pPr>
        <w:pStyle w:val="1"/>
        <w:numPr>
          <w:ilvl w:val="0"/>
          <w:numId w:val="2"/>
        </w:numPr>
        <w:spacing w:before="0"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1443FE">
        <w:rPr>
          <w:rFonts w:ascii="Times New Roman" w:hAnsi="Times New Roman"/>
          <w:sz w:val="24"/>
          <w:szCs w:val="24"/>
          <w:lang w:val="uk-UA"/>
        </w:rPr>
        <w:t>Процесуальні дії</w:t>
      </w:r>
    </w:p>
    <w:p w:rsidR="00A57B50" w:rsidRPr="001443FE" w:rsidRDefault="00A57B50" w:rsidP="0019512B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Заява </w:t>
      </w:r>
      <w:r w:rsidR="00447133" w:rsidRPr="001443FE">
        <w:t xml:space="preserve">товариства з обмеженою відповідальністю «ПГТ-Україна» (далі – ТОВ «ПГТ-Україна») (с. Петропавлівська </w:t>
      </w:r>
      <w:proofErr w:type="spellStart"/>
      <w:r w:rsidR="00447133" w:rsidRPr="001443FE">
        <w:t>Борщагівка</w:t>
      </w:r>
      <w:proofErr w:type="spellEnd"/>
      <w:r w:rsidR="00447133" w:rsidRPr="001443FE">
        <w:t>, Київська обл., ідентифікаційний код юридичної особи 39023198)</w:t>
      </w:r>
      <w:r w:rsidRPr="001443FE">
        <w:t xml:space="preserve"> від 20.03.2018 № 033/03 (вх. № 8-01/3626 від 27.03.2018) (далі – Заява 1) про порушення </w:t>
      </w:r>
      <w:r w:rsidR="00186F21" w:rsidRPr="001443FE">
        <w:t>товариством з обмеженою відповідальністю «Торгівельно-промислова компанія «НАК» (далі – ТОВ «НАК») (м. Львів, ідентифікаційний код юридичної особи 31073990)</w:t>
      </w:r>
      <w:r w:rsidRPr="001443FE">
        <w:t xml:space="preserve"> законодавства про захист економічної конкуренції, у вигляді подання недостовірної інформації Комітету.</w:t>
      </w:r>
    </w:p>
    <w:p w:rsidR="001A54A8" w:rsidRPr="001443FE" w:rsidRDefault="00A57B50" w:rsidP="001A54A8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Розпорядження</w:t>
      </w:r>
      <w:r w:rsidR="00B457C4" w:rsidRPr="001443FE">
        <w:t>м</w:t>
      </w:r>
      <w:r w:rsidRPr="001443FE">
        <w:t xml:space="preserve"> державного уповноваженого Комітету від 21.06.2018 № 09/110-р </w:t>
      </w:r>
      <w:r w:rsidR="002B2E13" w:rsidRPr="001443FE">
        <w:br/>
      </w:r>
      <w:r w:rsidRPr="001443FE">
        <w:t xml:space="preserve"> розпочато розгляд справи № 127-26.13/56-18 за ознаками вчинення ТОВ «НАК» порушення</w:t>
      </w:r>
      <w:r w:rsidR="00714645" w:rsidRPr="001443FE">
        <w:t>,</w:t>
      </w:r>
      <w:r w:rsidRPr="001443FE">
        <w:t xml:space="preserve"> передбаченого пунктом 15 статті 50 Закону України «Про захист економічної конкуренції», у вигляді подання </w:t>
      </w:r>
      <w:r w:rsidR="0059053A" w:rsidRPr="001443FE">
        <w:t>в</w:t>
      </w:r>
      <w:r w:rsidRPr="001443FE">
        <w:t xml:space="preserve"> заяві від 21.01.2016 № 072 </w:t>
      </w:r>
      <w:r w:rsidR="0059053A" w:rsidRPr="001443FE">
        <w:br/>
      </w:r>
      <w:r w:rsidRPr="001443FE">
        <w:t>(вх. Комітету № 8-01/24-АМ від 09.02.2016) та листом від 28.03.2016 № 250 (вх. Комітету № 8-127/2992 від 01.04.2016) недостовірної інформації Комітету.</w:t>
      </w:r>
    </w:p>
    <w:p w:rsidR="006D410A" w:rsidRPr="001443FE" w:rsidRDefault="001A54A8" w:rsidP="006D410A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Подання про попередні висновки від 13.12.2019 № 127-26.13/56-18/557-спр з пропозицією щодо закриття провадж</w:t>
      </w:r>
      <w:r w:rsidR="00613750" w:rsidRPr="001443FE">
        <w:t>ення у справі № 127-26.13/56-18</w:t>
      </w:r>
      <w:r w:rsidR="006D410A" w:rsidRPr="001443FE">
        <w:t>.</w:t>
      </w:r>
    </w:p>
    <w:p w:rsidR="008E72E8" w:rsidRPr="001443FE" w:rsidRDefault="006D410A" w:rsidP="006D410A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Листом від 23.12.2019 № 127-26/08-17197 </w:t>
      </w:r>
      <w:r w:rsidR="00D60593" w:rsidRPr="001443FE">
        <w:t xml:space="preserve">копію подання про попередні висновки направлено </w:t>
      </w:r>
      <w:r w:rsidRPr="001443FE">
        <w:t xml:space="preserve">ТОВ «ПГТ-Україна» та </w:t>
      </w:r>
      <w:r w:rsidR="00D60593" w:rsidRPr="001443FE">
        <w:t xml:space="preserve">листом від 23.12.2019 № 127-26/08-17198 копію витягу з подання з попередніми висновками направлено </w:t>
      </w:r>
      <w:r w:rsidRPr="001443FE">
        <w:t>ТОВ «НАК»</w:t>
      </w:r>
      <w:r w:rsidR="00D60593" w:rsidRPr="001443FE">
        <w:t>.</w:t>
      </w:r>
    </w:p>
    <w:p w:rsidR="008E72E8" w:rsidRPr="001443FE" w:rsidRDefault="0059053A" w:rsidP="008E72E8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Листом від 20.01.2020 </w:t>
      </w:r>
      <w:r w:rsidR="008E72E8" w:rsidRPr="001443FE">
        <w:t>б/н (вх. № 8-01/799 від 23.01.2020) ТОВ «ПГТ-Україна» надало заперечення на подання про попередні висновки від 13.12.2019 № 127-26.13/56-18/557-спр. Зауважень чи заперечень до Комітету на зазначене подання від ТОВ «НАК» не надходило.</w:t>
      </w:r>
    </w:p>
    <w:p w:rsidR="0025735E" w:rsidRPr="001443FE" w:rsidRDefault="0025735E" w:rsidP="0025735E">
      <w:pPr>
        <w:pStyle w:val="1"/>
        <w:spacing w:before="0" w:after="0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37833" w:rsidRPr="001443FE" w:rsidRDefault="00D2236F" w:rsidP="0019512B">
      <w:pPr>
        <w:pStyle w:val="1"/>
        <w:numPr>
          <w:ilvl w:val="0"/>
          <w:numId w:val="2"/>
        </w:numPr>
        <w:spacing w:before="0"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1443FE">
        <w:rPr>
          <w:rFonts w:ascii="Times New Roman" w:hAnsi="Times New Roman"/>
          <w:sz w:val="24"/>
          <w:szCs w:val="24"/>
          <w:lang w:val="uk-UA"/>
        </w:rPr>
        <w:t>Сторони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Заявником у справі є ТОВ «ПГТ-Україна».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ТОВ «ПГТ-Україна» зареєстроване Києво-Святошинською районною державною адміністрацією Київської області 17.12.2013 за адресою</w:t>
      </w:r>
      <w:r w:rsidR="0059053A" w:rsidRPr="001443FE">
        <w:t>:</w:t>
      </w:r>
      <w:r w:rsidRPr="001443FE">
        <w:t xml:space="preserve"> вул. В. Кільцева, 4Б, </w:t>
      </w:r>
      <w:r w:rsidRPr="001443FE">
        <w:br/>
        <w:t xml:space="preserve">с. Петропавлівська </w:t>
      </w:r>
      <w:proofErr w:type="spellStart"/>
      <w:r w:rsidRPr="001443FE">
        <w:t>Борщагівка</w:t>
      </w:r>
      <w:proofErr w:type="spellEnd"/>
      <w:r w:rsidRPr="001443FE">
        <w:t>, Київська обл., 08130.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lastRenderedPageBreak/>
        <w:t>Видами господарської діяльності ТОВ «ПГТ-Україна» згідно з класифікацією видів економічної діяльності (КВЕД), зокрема, є виробництво інших гумових виробів; виробництво інших виробів із пластмас; виробництво труб, порожнистих профілів і фітингів зі сталі; ремонт і технічне обслуговування машин і устаткування промислового призначення тощо.</w:t>
      </w:r>
    </w:p>
    <w:p w:rsidR="00083825" w:rsidRPr="001443FE" w:rsidRDefault="00593A81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Тобто</w:t>
      </w:r>
      <w:r w:rsidR="00083825" w:rsidRPr="001443FE">
        <w:t>, ТОВ «ПГТ-Україна» є суб’єктом господарювання у розумінні статті 1 Закону України «Про захист економічної конкуренції».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Відповідачем у справі є ТОВ «НАК».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ТОВ «НАК» зареєстроване виконавчим комітетом Львівської міської ради 21.07.2000 </w:t>
      </w:r>
      <w:r w:rsidRPr="001443FE">
        <w:br/>
        <w:t>за адресою</w:t>
      </w:r>
      <w:r w:rsidR="00593A81" w:rsidRPr="001443FE">
        <w:t>:</w:t>
      </w:r>
      <w:r w:rsidRPr="001443FE">
        <w:t xml:space="preserve"> вул. Б. Хмельницького, 176, корпус 5, м. Львів, 79024.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Видами господарської діяльності ТОВ «НАК» згідно з класифікацією видів економічної діяльності (КВЕД), зокрема, є виробництво інших гумових виробів; неспеціалізована оптова торгівля; інші види роздрібної торгівлі в неспеціалізованих магазинах; ремонт і технічне обслуговування машин і устаткування промислового призначення тощо.</w:t>
      </w:r>
    </w:p>
    <w:p w:rsidR="00083825" w:rsidRPr="001443FE" w:rsidRDefault="00083825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Основним видом діяльності </w:t>
      </w:r>
      <w:r w:rsidR="00A230E7" w:rsidRPr="001443FE">
        <w:t>ТОВ «НАК»</w:t>
      </w:r>
      <w:r w:rsidRPr="001443FE">
        <w:t xml:space="preserve"> є неспеціалізована оптова торгівля.</w:t>
      </w:r>
    </w:p>
    <w:p w:rsidR="00083825" w:rsidRPr="001443FE" w:rsidRDefault="00593A81" w:rsidP="0008382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Отже</w:t>
      </w:r>
      <w:r w:rsidR="00083825" w:rsidRPr="001443FE">
        <w:t>, ТОВ «НАК» є суб’єктом господарювання у розумінні статті 1 Закону України «Про захист економічної конкуренції».</w:t>
      </w:r>
    </w:p>
    <w:p w:rsidR="0025735E" w:rsidRPr="001443FE" w:rsidRDefault="0025735E" w:rsidP="0025735E">
      <w:pPr>
        <w:pStyle w:val="1"/>
        <w:spacing w:before="0" w:after="0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DA2F15" w:rsidRPr="001443FE" w:rsidRDefault="003C2220" w:rsidP="005650BF">
      <w:pPr>
        <w:pStyle w:val="1"/>
        <w:numPr>
          <w:ilvl w:val="0"/>
          <w:numId w:val="2"/>
        </w:numPr>
        <w:spacing w:before="0"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1443FE">
        <w:rPr>
          <w:rFonts w:ascii="Times New Roman" w:hAnsi="Times New Roman"/>
          <w:sz w:val="24"/>
          <w:szCs w:val="24"/>
          <w:lang w:val="uk-UA"/>
        </w:rPr>
        <w:t>Обставини справи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До Антимонопольного комітету України надійшла заява ТОВ «НАК» від 21.01.2016 б/н (вх. № 8-01/24-АМ</w:t>
      </w:r>
      <w:r w:rsidR="00722964" w:rsidRPr="001443FE">
        <w:t xml:space="preserve"> від</w:t>
      </w:r>
      <w:r w:rsidRPr="001443FE">
        <w:t xml:space="preserve"> 09.02.2016) (далі – Заява 2) про </w:t>
      </w:r>
      <w:r w:rsidR="00613750" w:rsidRPr="001443FE">
        <w:t xml:space="preserve">порушення </w:t>
      </w:r>
      <w:r w:rsidR="008A633B" w:rsidRPr="001443FE">
        <w:t xml:space="preserve">законодавства про захист від </w:t>
      </w:r>
      <w:r w:rsidRPr="001443FE">
        <w:t>недобросовісн</w:t>
      </w:r>
      <w:r w:rsidR="008A633B" w:rsidRPr="001443FE">
        <w:t xml:space="preserve">ої </w:t>
      </w:r>
      <w:r w:rsidRPr="001443FE">
        <w:t>конкуренці</w:t>
      </w:r>
      <w:r w:rsidR="008A633B" w:rsidRPr="001443FE">
        <w:t xml:space="preserve">ї у </w:t>
      </w:r>
      <w:r w:rsidRPr="001443FE">
        <w:t>діях ТОВ «ПГТ-Україна» у вигляді неправомірного використання позначення.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Відповідно до Заяви 2</w:t>
      </w:r>
      <w:r w:rsidR="00593A81" w:rsidRPr="001443FE">
        <w:t xml:space="preserve">, </w:t>
      </w:r>
      <w:r w:rsidRPr="001443FE">
        <w:t>ТОВ «НАК» у грудні 2015 року стало відомо про введення в господарській обіг в Україні рукавів високого тиску під позначенням «HYDRАFLEX», як</w:t>
      </w:r>
      <w:r w:rsidR="00593A81" w:rsidRPr="001443FE">
        <w:t>і</w:t>
      </w:r>
      <w:r w:rsidRPr="001443FE">
        <w:t xml:space="preserve"> реалізовувало ТОВ «ПГТ-Україна». Вказана продукція, на думку ТОВ «НАК», </w:t>
      </w:r>
      <w:r w:rsidR="00593A81" w:rsidRPr="001443FE">
        <w:br/>
      </w:r>
      <w:r w:rsidRPr="001443FE">
        <w:t>є схожою</w:t>
      </w:r>
      <w:r w:rsidR="00593A81" w:rsidRPr="001443FE">
        <w:t xml:space="preserve"> на продукцію </w:t>
      </w:r>
      <w:r w:rsidRPr="001443FE">
        <w:t xml:space="preserve">з позначенням </w:t>
      </w:r>
      <w:r w:rsidR="000520DF" w:rsidRPr="001443FE">
        <w:t>«</w:t>
      </w:r>
      <w:r w:rsidRPr="001443FE">
        <w:t>HYDRОFLEX</w:t>
      </w:r>
      <w:r w:rsidR="000520DF" w:rsidRPr="001443FE">
        <w:t>»</w:t>
      </w:r>
      <w:r w:rsidRPr="001443FE">
        <w:t xml:space="preserve">, яке також використовується </w:t>
      </w:r>
      <w:r w:rsidR="00593A81" w:rsidRPr="001443FE">
        <w:br/>
      </w:r>
      <w:r w:rsidRPr="001443FE">
        <w:t xml:space="preserve">на рукавах високого тиску, які реалізує </w:t>
      </w:r>
      <w:r w:rsidR="00593A81" w:rsidRPr="001443FE">
        <w:t>ТОВ «НАК»</w:t>
      </w:r>
      <w:r w:rsidRPr="001443FE">
        <w:t>. Використання позначення «HYDRАFLEX» ТОВ «НАК» виявлено на одному з рахунків, отриман</w:t>
      </w:r>
      <w:r w:rsidR="00593A81" w:rsidRPr="001443FE">
        <w:t xml:space="preserve">их </w:t>
      </w:r>
      <w:r w:rsidRPr="001443FE">
        <w:t xml:space="preserve">від </w:t>
      </w:r>
      <w:r w:rsidR="00593A81" w:rsidRPr="001443FE">
        <w:br/>
      </w:r>
      <w:r w:rsidRPr="001443FE">
        <w:t xml:space="preserve">ТОВ «ПГТ-Україна» (рахунок від 30 грудня 2015 року на оплату замовлення № 3681, внизу якого </w:t>
      </w:r>
      <w:r w:rsidR="00F009A7" w:rsidRPr="001443FE">
        <w:t xml:space="preserve">розміщено таку </w:t>
      </w:r>
      <w:r w:rsidRPr="001443FE">
        <w:t>інформаці</w:t>
      </w:r>
      <w:r w:rsidR="00F009A7" w:rsidRPr="001443FE">
        <w:t>ю</w:t>
      </w:r>
      <w:r w:rsidRPr="001443FE">
        <w:t>: «НОВІ НАДХОДЖЕННЯ НА СКЛАД: Рукава високого тиску «</w:t>
      </w:r>
      <w:proofErr w:type="spellStart"/>
      <w:r w:rsidRPr="001443FE">
        <w:t>Hydraflex</w:t>
      </w:r>
      <w:proofErr w:type="spellEnd"/>
      <w:r w:rsidRPr="001443FE">
        <w:t>»…вже у продажу!!!!»). ТОВ «НАК» вважає, що такі дії можуть призвести до змішування з його діяльністю.</w:t>
      </w:r>
    </w:p>
    <w:p w:rsidR="00D76297" w:rsidRPr="001443FE" w:rsidRDefault="00613750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У зв’язку з наявністю </w:t>
      </w:r>
      <w:r w:rsidR="00F009A7" w:rsidRPr="001443FE">
        <w:t>в</w:t>
      </w:r>
      <w:r w:rsidRPr="001443FE">
        <w:t xml:space="preserve"> діях</w:t>
      </w:r>
      <w:r w:rsidR="008A633B" w:rsidRPr="001443FE">
        <w:t xml:space="preserve"> ТОВ «ПГТ-Україна» ознак порушення</w:t>
      </w:r>
      <w:r w:rsidR="002A5617" w:rsidRPr="001443FE">
        <w:t xml:space="preserve">, </w:t>
      </w:r>
      <w:r w:rsidR="00D76297" w:rsidRPr="001443FE">
        <w:t>розпорядженням державного уповноваженого Комітету від 07.06.2016 № 09/141-р розпочато розгляд справи № 127-26.4/96-16</w:t>
      </w:r>
      <w:r w:rsidR="00131F94" w:rsidRPr="001443FE">
        <w:t xml:space="preserve"> за ознаками </w:t>
      </w:r>
      <w:r w:rsidR="00D76297" w:rsidRPr="001443FE">
        <w:t>порушення, передбаченого статтею 4 Закону України «Про захист від недобросовісної конкуренції», у вигляді використання у своїй господарській діяльності позначення «HYDRАFLEX», яке є схожим на позначення ТОВ «НАК» «HYDROFLEX», без дозволу (згоди) ТОВ «НАК», як</w:t>
      </w:r>
      <w:r w:rsidR="00F009A7" w:rsidRPr="001443FE">
        <w:t xml:space="preserve">е </w:t>
      </w:r>
      <w:r w:rsidR="00D76297" w:rsidRPr="001443FE">
        <w:t>раніше поча</w:t>
      </w:r>
      <w:r w:rsidR="00F009A7" w:rsidRPr="001443FE">
        <w:t>ло</w:t>
      </w:r>
      <w:r w:rsidR="00D76297" w:rsidRPr="001443FE">
        <w:t xml:space="preserve"> використовувати його у своїй господарській діяльності, що може призвести до змішування з діяльністю ТОВ «НАК».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За результатами розгляду справи № 127-26.4/96-16 Управлінням розслідувань недобросовісної конкуренції складено подання з попередніми висновками </w:t>
      </w:r>
      <w:r w:rsidR="00722964" w:rsidRPr="001443FE">
        <w:br/>
      </w:r>
      <w:r w:rsidRPr="001443FE">
        <w:t>від 17.10.2017 № 127-26.4/96-16/386-спр (далі – Подання), копі</w:t>
      </w:r>
      <w:r w:rsidR="00F009A7" w:rsidRPr="001443FE">
        <w:t>ю</w:t>
      </w:r>
      <w:r w:rsidRPr="001443FE">
        <w:t xml:space="preserve"> якого бул</w:t>
      </w:r>
      <w:r w:rsidR="00F009A7" w:rsidRPr="001443FE">
        <w:t>о</w:t>
      </w:r>
      <w:r w:rsidRPr="001443FE">
        <w:t xml:space="preserve"> надіслан</w:t>
      </w:r>
      <w:r w:rsidR="00F009A7" w:rsidRPr="001443FE">
        <w:t>о</w:t>
      </w:r>
      <w:r w:rsidRPr="001443FE">
        <w:t xml:space="preserve"> ТОВ «НАК» </w:t>
      </w:r>
      <w:r w:rsidR="00F009A7" w:rsidRPr="001443FE">
        <w:t>і</w:t>
      </w:r>
      <w:r w:rsidRPr="001443FE">
        <w:t xml:space="preserve"> ТОВ «ПГТ-Україна».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Листом від 13.11.2017 б/н (вх. № 8-01/11152 від 14.11.2017) ТОВ «ПГТ-Україна» надало свої заперечення та зауваження на подання з попередніми висновками (далі – Заперечення).</w:t>
      </w:r>
    </w:p>
    <w:p w:rsidR="002E54B3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Так, зокрема, відповідно до Заперечень ТОВ «ПГТ</w:t>
      </w:r>
      <w:r w:rsidR="002E54B3" w:rsidRPr="001443FE">
        <w:t>-Україна» зазначило</w:t>
      </w:r>
      <w:r w:rsidR="00F009A7" w:rsidRPr="001443FE">
        <w:t>:</w:t>
      </w:r>
    </w:p>
    <w:p w:rsidR="00D76297" w:rsidRPr="001443FE" w:rsidRDefault="00D7629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 xml:space="preserve">«Згідно з інформацією, зазначеною в Поданні, ТОВ «НАК» звернулося до органів Комітету із заявою про недобросовісну конкуренцію 21.01.2016 (п. 16 Подання). </w:t>
      </w:r>
      <w:r w:rsidR="00CC12A1" w:rsidRPr="001443FE">
        <w:br/>
      </w:r>
      <w:r w:rsidRPr="001443FE">
        <w:lastRenderedPageBreak/>
        <w:t xml:space="preserve">При цьому Заявник стверджує, що йому стало відомо про введення Товариством </w:t>
      </w:r>
      <w:r w:rsidR="00CC12A1" w:rsidRPr="001443FE">
        <w:br/>
      </w:r>
      <w:r w:rsidRPr="001443FE">
        <w:t>«…в господарській обіг в Україні продукції під назвою «HYDRAFLEX» …» у грудні 2015 року (п. 60 Подання).</w:t>
      </w:r>
    </w:p>
    <w:p w:rsidR="00D76297" w:rsidRPr="001443FE" w:rsidRDefault="00D7629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>Однак, твердження про те, що Заявнику стало відомо про реалізацію Товариством рукавів високого тиску із написом «HYDRAFLEXТМ» лише в грудні 2015 року є неправдивим…», зокрема, з огляду на наступне.</w:t>
      </w:r>
    </w:p>
    <w:p w:rsidR="002E54B3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ТОВ «ПГТ-Україна» зазначило</w:t>
      </w:r>
      <w:r w:rsidR="00F009A7" w:rsidRPr="001443FE">
        <w:t>:</w:t>
      </w:r>
    </w:p>
    <w:p w:rsidR="00D76297" w:rsidRPr="001443FE" w:rsidRDefault="00D7629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>«… п. 47 Подання зазначено, що Заявник з «2006 року бере участь у тематичних виставках, таких як: «Агро» та «</w:t>
      </w:r>
      <w:proofErr w:type="spellStart"/>
      <w:r w:rsidRPr="001443FE">
        <w:t>АгроЕкспо</w:t>
      </w:r>
      <w:proofErr w:type="spellEnd"/>
      <w:r w:rsidRPr="001443FE">
        <w:t>».</w:t>
      </w:r>
    </w:p>
    <w:p w:rsidR="00D76297" w:rsidRPr="001443FE" w:rsidRDefault="00D7629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 xml:space="preserve">Інформація про участь ТОВ «НАК» у виставці «Агро» підтверджується також каталогом учасників, що міститься на офіційному сайті цієї виставки за посиланням </w:t>
      </w:r>
      <w:hyperlink r:id="rId10" w:history="1">
        <w:r w:rsidRPr="001443FE">
          <w:t>http://agroexpo.in.ua/agrocatalog/, а</w:t>
        </w:r>
      </w:hyperlink>
      <w:r w:rsidRPr="001443FE">
        <w:t xml:space="preserve"> також схемою розміщення учасників виставки, що відбулась 3-6 червня 2015 року.</w:t>
      </w:r>
    </w:p>
    <w:p w:rsidR="00D76297" w:rsidRPr="001443FE" w:rsidRDefault="001F140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>В</w:t>
      </w:r>
      <w:r w:rsidR="00D76297" w:rsidRPr="001443FE">
        <w:t xml:space="preserve"> цій же виставці «Агро-2015» брало участь також і Товариство, що підтверджується Договором-заявкою № У/04 від 29.01.2015.</w:t>
      </w:r>
    </w:p>
    <w:p w:rsidR="00D76297" w:rsidRPr="001443FE" w:rsidRDefault="00D76297" w:rsidP="002E54B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>На виставці «Агро-2015» Товариство виставляло також свою продукцію «HYDRAFLEX</w:t>
      </w:r>
      <w:r w:rsidRPr="001443FE">
        <w:rPr>
          <w:vertAlign w:val="superscript"/>
        </w:rPr>
        <w:t>ТМ</w:t>
      </w:r>
      <w:r w:rsidRPr="001443FE">
        <w:t>», що підтверджується фотографіями виставки, макетами стенду та надрукованими для роздачі під час виставки рекламними буклетами</w:t>
      </w:r>
      <w:r w:rsidR="0065535C" w:rsidRPr="001443FE">
        <w:t>»</w:t>
      </w:r>
      <w:r w:rsidRPr="001443FE">
        <w:t>.</w:t>
      </w:r>
    </w:p>
    <w:p w:rsidR="00D76297" w:rsidRPr="001443FE" w:rsidRDefault="0065535C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З огляду на зазначене, як повідомляє ТОВ «ПГТ-Україна», </w:t>
      </w:r>
      <w:r w:rsidR="00D76297" w:rsidRPr="001443FE">
        <w:t xml:space="preserve">щонайпізніше </w:t>
      </w:r>
      <w:r w:rsidR="00EA2A6F" w:rsidRPr="001443FE">
        <w:t xml:space="preserve">06.06.2015 </w:t>
      </w:r>
      <w:r w:rsidR="00D76297" w:rsidRPr="001443FE">
        <w:t>ТОВ «НАК» дізна</w:t>
      </w:r>
      <w:r w:rsidR="00F009A7" w:rsidRPr="001443FE">
        <w:t>ло</w:t>
      </w:r>
      <w:r w:rsidR="00D76297" w:rsidRPr="001443FE">
        <w:t xml:space="preserve">ся про використання </w:t>
      </w:r>
      <w:r w:rsidRPr="001443FE">
        <w:t xml:space="preserve">ним </w:t>
      </w:r>
      <w:r w:rsidR="00D76297" w:rsidRPr="001443FE">
        <w:t xml:space="preserve">позначення «HYDRAFLEX», </w:t>
      </w:r>
      <w:r w:rsidRPr="001443FE">
        <w:t xml:space="preserve">зважаючи на той факт, що </w:t>
      </w:r>
      <w:r w:rsidR="00F1123C" w:rsidRPr="001443FE">
        <w:t>«…</w:t>
      </w:r>
      <w:r w:rsidR="00D76297" w:rsidRPr="001443FE">
        <w:t xml:space="preserve">протягом трьох днів проведення виставки </w:t>
      </w:r>
      <w:r w:rsidRPr="001443FE">
        <w:t xml:space="preserve">ТОВ «НАК» </w:t>
      </w:r>
      <w:r w:rsidR="00D76297" w:rsidRPr="001443FE">
        <w:t xml:space="preserve">не міг не «помітити» </w:t>
      </w:r>
      <w:r w:rsidR="00F4303F" w:rsidRPr="001443FE">
        <w:t xml:space="preserve">його </w:t>
      </w:r>
      <w:r w:rsidR="00D76297" w:rsidRPr="001443FE">
        <w:t>стенд, на якому виставлялась відповідна продукція».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Для з’ясування інформації, зокрема, стосовно того, чи дійсно ТОВ «НАК» брало участь у виставці «Агро-2015» та чи було відомо ТОВ «НАК» про те, що ТОВ «ПГТ-Україна» брало участь у зазначеній виставці </w:t>
      </w:r>
      <w:r w:rsidR="00F009A7" w:rsidRPr="001443FE">
        <w:t>й</w:t>
      </w:r>
      <w:r w:rsidRPr="001443FE">
        <w:t xml:space="preserve"> використовувало на стендах позначення «HYDRAFLEX», Комітетом надіслано лист до ТОВ «НАК» про надання інформації.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Листом від 04.12.2017 № 714 (вх. № 8-127/12355 від 12.12.2017) ТОВ «НАК» повідомило Комітет про те, що дійсно брало участь у виставці «Агро 2015» у 2015 році та надало підтвердні документи, а також повідомило про те, що </w:t>
      </w:r>
      <w:r w:rsidR="00516968" w:rsidRPr="001443FE">
        <w:t>в</w:t>
      </w:r>
      <w:r w:rsidRPr="001443FE">
        <w:t xml:space="preserve"> ТОВ «НАК» відсутня інформація про участь ТОВ «ПГТ-Україна» у зазначеній виставці.</w:t>
      </w:r>
    </w:p>
    <w:p w:rsidR="00D76297" w:rsidRPr="001443FE" w:rsidRDefault="00444755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Отже</w:t>
      </w:r>
      <w:r w:rsidR="00D76297" w:rsidRPr="001443FE">
        <w:t>, ТОВ «НАК» зазначеним вище листом підтвердило інформацію про те, що брало участь у виставці «Агро 2015».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На підставі зазначеного ТОВ «ПГТ-Україна» звернулося до Комітету </w:t>
      </w:r>
      <w:r w:rsidR="00444755" w:rsidRPr="001443FE">
        <w:t>і</w:t>
      </w:r>
      <w:r w:rsidRPr="001443FE">
        <w:t>з Заявою 1.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ТОВ «ПГТ-Україна» у своїй Заяві 1 </w:t>
      </w:r>
      <w:r w:rsidR="00444755" w:rsidRPr="001443FE">
        <w:t>повідомило</w:t>
      </w:r>
      <w:r w:rsidRPr="001443FE">
        <w:t xml:space="preserve"> про те, що ТОВ «НАК» було відомо </w:t>
      </w:r>
      <w:r w:rsidR="00444755" w:rsidRPr="001443FE">
        <w:t>про участь</w:t>
      </w:r>
      <w:r w:rsidRPr="001443FE">
        <w:t xml:space="preserve"> ТОВ «ПГТ-Україна» з продукцією з позначенням «HYDRAFLEX» у виставці «Агро 2015» у період </w:t>
      </w:r>
      <w:r w:rsidR="00444755" w:rsidRPr="001443FE">
        <w:t>0</w:t>
      </w:r>
      <w:r w:rsidRPr="001443FE">
        <w:t>3</w:t>
      </w:r>
      <w:r w:rsidR="00444755" w:rsidRPr="001443FE">
        <w:t xml:space="preserve"> – 0</w:t>
      </w:r>
      <w:r w:rsidRPr="001443FE">
        <w:t>6 червня 2015 року.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Так, Заявник зауважує, що в Поданні зазначено про те, що «…ТОВ «НАК» стверджує, що йому стало відомо про введення Товариством у господарський обіг в Україні продукції під назвою «HYDRAFLEX» у грудні 2015 року. Зокрема, в </w:t>
      </w:r>
      <w:proofErr w:type="spellStart"/>
      <w:r w:rsidRPr="001443FE">
        <w:t>п.п</w:t>
      </w:r>
      <w:proofErr w:type="spellEnd"/>
      <w:r w:rsidRPr="001443FE">
        <w:t>. 62-63 Подання зазначено: «При отриманні рахунку від ТОВ «ПГТ-Україна» Заявником виявлена на рахунку реклама про продаж рукавів ТМ «HYDRAFLEX»… Так, зокрема, на рахунку ТОВ «ПГТ-Україна» на оплату за замовлення № 3681 від 30 грудня 2015 року, у нижній частині, по центру, зазначена наступна інформація: «НОВІ НАДХОДЖЕННЯ НА СКЛАДІ: Рукава високого тиску «HYDRAFLEX» вже в продажу!!!!». Про зазначене ТОВ «НАК» повідомило у самій Заяві від 21.01.2016 і згодом у листі № 250 від 28.03.2016 підтвердило зазначене Комітету та надало копію рахунку Товариства від 30.12.2015.</w:t>
      </w:r>
    </w:p>
    <w:p w:rsidR="00D76297" w:rsidRPr="001443FE" w:rsidRDefault="00D76297" w:rsidP="004F7BC3">
      <w:pPr>
        <w:pStyle w:val="a3"/>
        <w:tabs>
          <w:tab w:val="left" w:pos="567"/>
        </w:tabs>
        <w:spacing w:before="0" w:beforeAutospacing="0" w:after="0" w:afterAutospacing="0"/>
        <w:ind w:left="567"/>
        <w:jc w:val="both"/>
      </w:pPr>
      <w:r w:rsidRPr="001443FE">
        <w:t xml:space="preserve">Таким чином, ТОВ «НАК» стверджує, що вперше дізналося про використання Товариством позначення «HYDRAFLEXTM» саме з рахунку від 30.12.2015. Однак, твердження про те, що ТОВ «НАК» стало відомо про реалізацію Товариством </w:t>
      </w:r>
      <w:r w:rsidR="00165B74" w:rsidRPr="001443FE">
        <w:br/>
      </w:r>
      <w:r w:rsidRPr="001443FE">
        <w:t>рукавів високого тиску із написом «HYDRAFLEX</w:t>
      </w:r>
      <w:r w:rsidRPr="001443FE">
        <w:rPr>
          <w:vertAlign w:val="superscript"/>
        </w:rPr>
        <w:t>TM</w:t>
      </w:r>
      <w:r w:rsidRPr="001443FE">
        <w:t xml:space="preserve">» лише в грудні 2015 року </w:t>
      </w:r>
      <w:r w:rsidR="00165B74" w:rsidRPr="001443FE">
        <w:br/>
      </w:r>
      <w:r w:rsidR="0005438A" w:rsidRPr="001443FE">
        <w:t>є неправдивим …»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lastRenderedPageBreak/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D76297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На думку ТОВ «ПГТ-Україна», ТОВ «НАК» при пода</w:t>
      </w:r>
      <w:r w:rsidR="0005438A" w:rsidRPr="001443FE">
        <w:t>нні</w:t>
      </w:r>
      <w:r w:rsidRPr="001443FE">
        <w:t xml:space="preserve"> до Комітету Заяви 2 та </w:t>
      </w:r>
      <w:r w:rsidR="00A230E7" w:rsidRPr="001443FE">
        <w:br/>
      </w:r>
      <w:r w:rsidRPr="001443FE">
        <w:t xml:space="preserve">листа від 28.03.2016 № 250 надало недостовірну інформацію Комітету у зв’язку з тим, що ТОВ «НАК» було відомо про таке використання спірного позначення ще </w:t>
      </w:r>
      <w:r w:rsidR="0005438A" w:rsidRPr="001443FE">
        <w:t>і</w:t>
      </w:r>
      <w:r w:rsidRPr="001443FE">
        <w:t>з червня 2015 року.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</w:t>
      </w:r>
    </w:p>
    <w:p w:rsidR="00D76297" w:rsidRPr="001443FE" w:rsidRDefault="001B7E1E" w:rsidP="00D7629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b/>
        </w:rPr>
        <w:t>«(Інформація з обмеженим доступом)»</w:t>
      </w:r>
      <w:r w:rsidR="00D76297" w:rsidRPr="001443FE">
        <w:t>. Зазначені факти містяться в матеріалах справи. Проте наведена інформація ТОВ «НАК» не спростована і не підтверджена.</w:t>
      </w:r>
    </w:p>
    <w:p w:rsidR="0025735E" w:rsidRPr="001443FE" w:rsidRDefault="0025735E" w:rsidP="0025735E">
      <w:pPr>
        <w:pStyle w:val="1"/>
        <w:spacing w:before="0" w:after="0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37833" w:rsidRPr="001443FE" w:rsidRDefault="00A230E7" w:rsidP="00261C95">
      <w:pPr>
        <w:pStyle w:val="1"/>
        <w:numPr>
          <w:ilvl w:val="0"/>
          <w:numId w:val="2"/>
        </w:numPr>
        <w:spacing w:before="0"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1443FE">
        <w:rPr>
          <w:rFonts w:ascii="Times New Roman" w:hAnsi="Times New Roman"/>
          <w:sz w:val="24"/>
          <w:szCs w:val="24"/>
          <w:lang w:val="uk-UA"/>
        </w:rPr>
        <w:t>Підстави для закриття провадження у справі</w:t>
      </w:r>
    </w:p>
    <w:p w:rsidR="00A230E7" w:rsidRPr="001443FE" w:rsidRDefault="00A230E7" w:rsidP="00A230E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У ході розгляду справи Комітетом уточнено інформацію щодо отримання брошури та рекламного </w:t>
      </w:r>
      <w:proofErr w:type="spellStart"/>
      <w:r w:rsidRPr="001443FE">
        <w:t>буклет</w:t>
      </w:r>
      <w:r w:rsidR="00C15225" w:rsidRPr="001443FE">
        <w:t>а</w:t>
      </w:r>
      <w:proofErr w:type="spellEnd"/>
      <w:r w:rsidRPr="001443FE">
        <w:t xml:space="preserve"> п</w:t>
      </w:r>
      <w:r w:rsidR="00C15225" w:rsidRPr="001443FE">
        <w:t>р</w:t>
      </w:r>
      <w:r w:rsidRPr="001443FE">
        <w:t>о рукава високого тиску «HYDRAFLEX», зокрема, посадовими особами ТОВ «НАК», а саме</w:t>
      </w:r>
      <w:r w:rsidR="00C15225" w:rsidRPr="001443FE">
        <w:t>:</w:t>
      </w:r>
      <w:r w:rsidRPr="001443FE">
        <w:t xml:space="preserve"> </w:t>
      </w:r>
      <w:proofErr w:type="spellStart"/>
      <w:r w:rsidRPr="001443FE">
        <w:t>Куштою</w:t>
      </w:r>
      <w:proofErr w:type="spellEnd"/>
      <w:r w:rsidRPr="001443FE">
        <w:t xml:space="preserve"> В.М. та/або </w:t>
      </w:r>
      <w:proofErr w:type="spellStart"/>
      <w:r w:rsidRPr="001443FE">
        <w:t>Дакелиним</w:t>
      </w:r>
      <w:proofErr w:type="spellEnd"/>
      <w:r w:rsidRPr="001443FE">
        <w:t xml:space="preserve"> О.О. та/або Александровським О.В.</w:t>
      </w:r>
    </w:p>
    <w:p w:rsidR="00A230E7" w:rsidRPr="001443FE" w:rsidRDefault="00A230E7" w:rsidP="00A230E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За повідомленням ТОВ «НАК»</w:t>
      </w:r>
      <w:r w:rsidR="001C0666" w:rsidRPr="001443FE">
        <w:t>,</w:t>
      </w:r>
      <w:r w:rsidRPr="001443FE">
        <w:t xml:space="preserve"> інформація про наявність стенд</w:t>
      </w:r>
      <w:r w:rsidR="00C15225" w:rsidRPr="001443FE">
        <w:t>а</w:t>
      </w:r>
      <w:r w:rsidRPr="001443FE">
        <w:t xml:space="preserve"> з продукцією з позначенням «HYDRAFLEX» та/або рекламний буклет і брошури із зазначеною продукцією під час та/або після виставки «Агро-2015» вищевказаним особам не надавал</w:t>
      </w:r>
      <w:r w:rsidR="00C15225" w:rsidRPr="001443FE">
        <w:t>и</w:t>
      </w:r>
      <w:r w:rsidRPr="001443FE">
        <w:t>сь.</w:t>
      </w:r>
    </w:p>
    <w:p w:rsidR="00A230E7" w:rsidRPr="001443FE" w:rsidRDefault="00A230E7" w:rsidP="00A230E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Інша інформація щодо отримання рахунків належною посадовою особою ТОВ «НАК» не підтверджен</w:t>
      </w:r>
      <w:r w:rsidR="00EC299D" w:rsidRPr="001443FE">
        <w:t>а</w:t>
      </w:r>
      <w:r w:rsidRPr="001443FE">
        <w:t>.</w:t>
      </w:r>
    </w:p>
    <w:p w:rsidR="00A230E7" w:rsidRPr="001443FE" w:rsidRDefault="00A230E7" w:rsidP="00A230E7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Тобто, вчинення ТОВ «НАК» порушення законодавства про захист економічної конкуренції, передбаченого пунктом 15 статті 50 Закону України «Про захист економічної конкуренції», у вигляді подання </w:t>
      </w:r>
      <w:r w:rsidR="00EC299D" w:rsidRPr="001443FE">
        <w:t>в</w:t>
      </w:r>
      <w:r w:rsidRPr="001443FE">
        <w:t xml:space="preserve"> заяві від 21.01.2016 № 072 (вх. Комітету № 8-01/24-АМ від 09.02.2016) та листом від 28.03.2016 № 250 (вх. Комітету </w:t>
      </w:r>
      <w:r w:rsidR="00EC299D" w:rsidRPr="001443FE">
        <w:br/>
      </w:r>
      <w:r w:rsidRPr="001443FE">
        <w:t>№ 8-127/2992 від 01.04.2016) недостовірної інформації Комітету, не доведено.</w:t>
      </w:r>
    </w:p>
    <w:p w:rsidR="004F2637" w:rsidRPr="001443FE" w:rsidRDefault="004F2637" w:rsidP="004F2637">
      <w:pPr>
        <w:pStyle w:val="1"/>
        <w:spacing w:before="0" w:after="0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6820BF" w:rsidRPr="001443FE" w:rsidRDefault="00A41435" w:rsidP="00A230E7">
      <w:pPr>
        <w:pStyle w:val="1"/>
        <w:numPr>
          <w:ilvl w:val="0"/>
          <w:numId w:val="2"/>
        </w:numPr>
        <w:spacing w:before="0" w:after="0"/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1443FE">
        <w:rPr>
          <w:rFonts w:ascii="Times New Roman" w:hAnsi="Times New Roman"/>
          <w:sz w:val="24"/>
          <w:szCs w:val="24"/>
          <w:lang w:val="uk-UA"/>
        </w:rPr>
        <w:t xml:space="preserve">Заперечення </w:t>
      </w:r>
      <w:r w:rsidR="00283B20" w:rsidRPr="001443FE">
        <w:rPr>
          <w:rFonts w:ascii="Times New Roman" w:hAnsi="Times New Roman"/>
          <w:sz w:val="24"/>
          <w:szCs w:val="24"/>
          <w:lang w:val="uk-UA"/>
        </w:rPr>
        <w:t>на подання про попередні висновки</w:t>
      </w:r>
      <w:r w:rsidRPr="001443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20BF" w:rsidRPr="001443FE">
        <w:rPr>
          <w:rFonts w:ascii="Times New Roman" w:hAnsi="Times New Roman"/>
          <w:sz w:val="24"/>
          <w:szCs w:val="24"/>
          <w:lang w:val="uk-UA"/>
        </w:rPr>
        <w:t>та їх спростування</w:t>
      </w:r>
    </w:p>
    <w:p w:rsidR="006820BF" w:rsidRPr="001443FE" w:rsidRDefault="006820BF" w:rsidP="00283B2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Лист</w:t>
      </w:r>
      <w:r w:rsidR="00A230E7" w:rsidRPr="001443FE">
        <w:t>а</w:t>
      </w:r>
      <w:r w:rsidRPr="001443FE">
        <w:t>м</w:t>
      </w:r>
      <w:r w:rsidR="00A230E7" w:rsidRPr="001443FE">
        <w:t xml:space="preserve">и </w:t>
      </w:r>
      <w:r w:rsidRPr="001443FE">
        <w:t xml:space="preserve">від </w:t>
      </w:r>
      <w:r w:rsidR="00BD582E" w:rsidRPr="001443FE">
        <w:t>23</w:t>
      </w:r>
      <w:r w:rsidRPr="001443FE">
        <w:t>.</w:t>
      </w:r>
      <w:r w:rsidR="00A230E7" w:rsidRPr="001443FE">
        <w:t>12.2019</w:t>
      </w:r>
      <w:r w:rsidRPr="001443FE">
        <w:t xml:space="preserve"> № 127-26/0</w:t>
      </w:r>
      <w:r w:rsidR="00BD582E" w:rsidRPr="001443FE">
        <w:t>8</w:t>
      </w:r>
      <w:r w:rsidRPr="001443FE">
        <w:t>-</w:t>
      </w:r>
      <w:r w:rsidR="00BD582E" w:rsidRPr="001443FE">
        <w:t>17197</w:t>
      </w:r>
      <w:r w:rsidR="00A230E7" w:rsidRPr="001443FE">
        <w:t xml:space="preserve"> та від </w:t>
      </w:r>
      <w:r w:rsidR="00BD582E" w:rsidRPr="001443FE">
        <w:t>23</w:t>
      </w:r>
      <w:r w:rsidR="00A230E7" w:rsidRPr="001443FE">
        <w:t>.12.2019 № 127-26/</w:t>
      </w:r>
      <w:r w:rsidR="004028C8" w:rsidRPr="001443FE">
        <w:t>08-17197</w:t>
      </w:r>
      <w:r w:rsidRPr="001443FE">
        <w:t xml:space="preserve"> </w:t>
      </w:r>
      <w:r w:rsidR="004028C8" w:rsidRPr="001443FE">
        <w:br/>
      </w:r>
      <w:r w:rsidR="00283B20" w:rsidRPr="001443FE">
        <w:t xml:space="preserve">ТОВ «ПГТ-Україна» </w:t>
      </w:r>
      <w:r w:rsidR="00EC299D" w:rsidRPr="001443FE">
        <w:t>і</w:t>
      </w:r>
      <w:r w:rsidR="00283B20" w:rsidRPr="001443FE">
        <w:t xml:space="preserve"> ТОВ «НАК» </w:t>
      </w:r>
      <w:r w:rsidRPr="001443FE">
        <w:t>направлено копі</w:t>
      </w:r>
      <w:r w:rsidR="00283B20" w:rsidRPr="001443FE">
        <w:t xml:space="preserve">ї </w:t>
      </w:r>
      <w:r w:rsidRPr="001443FE">
        <w:t>подан</w:t>
      </w:r>
      <w:r w:rsidR="00283B20" w:rsidRPr="001443FE">
        <w:t xml:space="preserve">ь </w:t>
      </w:r>
      <w:r w:rsidRPr="001443FE">
        <w:t xml:space="preserve">про попередні висновки </w:t>
      </w:r>
      <w:r w:rsidR="00283B20" w:rsidRPr="001443FE">
        <w:br/>
      </w:r>
      <w:r w:rsidRPr="001443FE">
        <w:t xml:space="preserve">у справі </w:t>
      </w:r>
      <w:r w:rsidR="00283B20" w:rsidRPr="001443FE">
        <w:t>від 13.12.2019 № 127-26.13/56-18/557-спр</w:t>
      </w:r>
      <w:r w:rsidRPr="001443FE">
        <w:t>.</w:t>
      </w:r>
    </w:p>
    <w:p w:rsidR="004D3B70" w:rsidRPr="001443FE" w:rsidRDefault="003800F7" w:rsidP="006351F4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Зауважень чи заперечень</w:t>
      </w:r>
      <w:r w:rsidR="004028C8" w:rsidRPr="001443FE">
        <w:t xml:space="preserve"> до Комітету</w:t>
      </w:r>
      <w:r w:rsidR="00283B20" w:rsidRPr="001443FE">
        <w:t xml:space="preserve"> на зазначене подання від </w:t>
      </w:r>
      <w:r w:rsidR="00142B31" w:rsidRPr="001443FE">
        <w:t>ТОВ «НАК»</w:t>
      </w:r>
      <w:r w:rsidR="00283B20" w:rsidRPr="001443FE">
        <w:t xml:space="preserve"> </w:t>
      </w:r>
      <w:r w:rsidR="004028C8" w:rsidRPr="001443FE">
        <w:br/>
      </w:r>
      <w:r w:rsidR="00283B20" w:rsidRPr="001443FE">
        <w:t xml:space="preserve">не надходило. Проте </w:t>
      </w:r>
      <w:r w:rsidR="00142B31" w:rsidRPr="001443FE">
        <w:t xml:space="preserve">такі заперечення надійшли від ТОВ «ПГТ-Україна» </w:t>
      </w:r>
      <w:r w:rsidR="004028C8" w:rsidRPr="001443FE">
        <w:br/>
      </w:r>
      <w:r w:rsidR="00142B31" w:rsidRPr="001443FE">
        <w:t>(</w:t>
      </w:r>
      <w:r w:rsidR="006820BF" w:rsidRPr="001443FE">
        <w:t>лист</w:t>
      </w:r>
      <w:r w:rsidR="00142B31" w:rsidRPr="001443FE">
        <w:t xml:space="preserve"> </w:t>
      </w:r>
      <w:r w:rsidR="006820BF" w:rsidRPr="001443FE">
        <w:t>від 20.0</w:t>
      </w:r>
      <w:r w:rsidR="00142B31" w:rsidRPr="001443FE">
        <w:t>1</w:t>
      </w:r>
      <w:r w:rsidR="006820BF" w:rsidRPr="001443FE">
        <w:t>.20</w:t>
      </w:r>
      <w:r w:rsidR="00142B31" w:rsidRPr="001443FE">
        <w:t>20</w:t>
      </w:r>
      <w:r w:rsidR="006820BF" w:rsidRPr="001443FE">
        <w:t xml:space="preserve"> </w:t>
      </w:r>
      <w:r w:rsidR="00142B31" w:rsidRPr="001443FE">
        <w:t xml:space="preserve">б/н (вх. № 8-01/799 від 23.01.2020), відповідно до яких </w:t>
      </w:r>
      <w:r w:rsidR="004028C8" w:rsidRPr="001443FE">
        <w:br/>
      </w:r>
      <w:r w:rsidR="00142B31" w:rsidRPr="001443FE">
        <w:t xml:space="preserve">ТОВ «ПГТ-Україна» </w:t>
      </w:r>
      <w:r w:rsidR="006820BF" w:rsidRPr="001443FE">
        <w:t xml:space="preserve">повідомило, що не погоджується з висновками Комітету, викладеними в </w:t>
      </w:r>
      <w:r w:rsidR="00142B31" w:rsidRPr="001443FE">
        <w:t>п</w:t>
      </w:r>
      <w:r w:rsidR="006820BF" w:rsidRPr="001443FE">
        <w:t>оданні</w:t>
      </w:r>
      <w:r w:rsidR="00142B31" w:rsidRPr="001443FE">
        <w:t xml:space="preserve"> від 13.12.2019 № 127-26.13/56-18/557-спр</w:t>
      </w:r>
      <w:r w:rsidR="00E15A7D" w:rsidRPr="001443FE">
        <w:t>,</w:t>
      </w:r>
      <w:r w:rsidR="006351F4" w:rsidRPr="001443FE">
        <w:t xml:space="preserve"> та нада</w:t>
      </w:r>
      <w:r w:rsidR="00E15A7D" w:rsidRPr="001443FE">
        <w:t>ло</w:t>
      </w:r>
      <w:r w:rsidR="006351F4" w:rsidRPr="001443FE">
        <w:t xml:space="preserve"> наступні </w:t>
      </w:r>
      <w:r w:rsidR="004D3B70" w:rsidRPr="001443FE">
        <w:t>заперечення.</w:t>
      </w:r>
    </w:p>
    <w:p w:rsidR="0046550B" w:rsidRPr="001443FE" w:rsidRDefault="00F71612" w:rsidP="0046550B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ТОВ «ПГТ-Україна» зазначило, що ТОВ «НАК» </w:t>
      </w:r>
      <w:r w:rsidR="001566C4" w:rsidRPr="001443FE">
        <w:t xml:space="preserve">листом від 14.12.2015 </w:t>
      </w:r>
      <w:r w:rsidRPr="001443FE">
        <w:t xml:space="preserve">зверталось </w:t>
      </w:r>
      <w:r w:rsidR="00735DB8" w:rsidRPr="001443FE">
        <w:br/>
      </w:r>
      <w:r w:rsidRPr="001443FE">
        <w:t xml:space="preserve">до ТОВ «ПГТ-Україна» з вимогою </w:t>
      </w:r>
      <w:r w:rsidR="001566C4" w:rsidRPr="001443FE">
        <w:t xml:space="preserve">припинити використання ТМ «HYDRAFLEX», </w:t>
      </w:r>
      <w:r w:rsidR="00735DB8" w:rsidRPr="001443FE">
        <w:br/>
      </w:r>
      <w:r w:rsidR="007424D5" w:rsidRPr="001443FE">
        <w:t>що спростовує твердження ТОВ «НАК» про те, що йому стало відомо про використання ТОВ «ПГТ-Україна» «HYDRAFLEX» з рахунку від 30.12.2015. Також ТОВ «ПГТ-Україна» зазначило про те, що копі</w:t>
      </w:r>
      <w:r w:rsidR="00E15A7D" w:rsidRPr="001443FE">
        <w:t>ю</w:t>
      </w:r>
      <w:r w:rsidR="007424D5" w:rsidRPr="001443FE">
        <w:t xml:space="preserve"> листа від 14.12.2015 </w:t>
      </w:r>
      <w:r w:rsidR="005B3705" w:rsidRPr="001443FE">
        <w:t xml:space="preserve">надавало, </w:t>
      </w:r>
      <w:r w:rsidR="00E15A7D" w:rsidRPr="001443FE">
        <w:br/>
      </w:r>
      <w:r w:rsidR="005B3705" w:rsidRPr="001443FE">
        <w:t>проте цьому листу не надано оцінки.</w:t>
      </w:r>
    </w:p>
    <w:p w:rsidR="00F71932" w:rsidRPr="001443FE" w:rsidRDefault="00095ACC" w:rsidP="00F71932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Щодо наведеного </w:t>
      </w:r>
      <w:r w:rsidR="00EE6517" w:rsidRPr="001443FE">
        <w:t>твердження</w:t>
      </w:r>
      <w:r w:rsidRPr="001443FE">
        <w:t xml:space="preserve"> Комітет повідомляє про таке.</w:t>
      </w:r>
    </w:p>
    <w:p w:rsidR="002432C0" w:rsidRPr="001443FE" w:rsidRDefault="002432C0" w:rsidP="002432C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Надані ТОВ «ПГТ-Україна» Комітету пояснення та документи у</w:t>
      </w:r>
      <w:r w:rsidR="002F6A3A" w:rsidRPr="001443FE">
        <w:t xml:space="preserve"> справі </w:t>
      </w:r>
      <w:r w:rsidRPr="001443FE">
        <w:t xml:space="preserve">містять інформацію про те, що ТОВ «НАК» стало відомо про порушення, яке є предметом справи № 127-26.4/96-16, не у грудні 2015 року (як повідомлялось ТОВ «НАК» </w:t>
      </w:r>
      <w:r w:rsidR="002F6A3A" w:rsidRPr="001443FE">
        <w:br/>
      </w:r>
      <w:r w:rsidRPr="001443FE">
        <w:t xml:space="preserve">з отриманого рахунку за замовлення № 3681 від 30 грудня 2015 року), а з червня </w:t>
      </w:r>
      <w:r w:rsidR="002F6A3A" w:rsidRPr="001443FE">
        <w:br/>
      </w:r>
      <w:r w:rsidRPr="001443FE">
        <w:lastRenderedPageBreak/>
        <w:t>2015 року (як зазначає ТОВ «ПГТ-Україна», зважаючи на те, що про порушення, яке є предметом справи № 127-26.4/96-16, ТОВ «НАК»</w:t>
      </w:r>
      <w:r w:rsidR="002F6A3A" w:rsidRPr="001443FE">
        <w:t xml:space="preserve"> м</w:t>
      </w:r>
      <w:r w:rsidR="00E15A7D" w:rsidRPr="001443FE">
        <w:t>огло</w:t>
      </w:r>
      <w:r w:rsidR="0074542A" w:rsidRPr="001443FE">
        <w:t xml:space="preserve"> дізнатися </w:t>
      </w:r>
      <w:r w:rsidR="00E15A7D" w:rsidRPr="001443FE">
        <w:t>в</w:t>
      </w:r>
      <w:r w:rsidRPr="001443FE">
        <w:t xml:space="preserve"> Міжнародній агропромисловій виставці «АГРО-2015» у період з </w:t>
      </w:r>
      <w:r w:rsidR="00E15A7D" w:rsidRPr="001443FE">
        <w:t>0</w:t>
      </w:r>
      <w:r w:rsidRPr="001443FE">
        <w:t xml:space="preserve">3 по </w:t>
      </w:r>
      <w:r w:rsidR="00E15A7D" w:rsidRPr="001443FE">
        <w:t>0</w:t>
      </w:r>
      <w:r w:rsidRPr="001443FE">
        <w:t>6 червня 2015 року).</w:t>
      </w:r>
    </w:p>
    <w:p w:rsidR="00E77266" w:rsidRPr="001443FE" w:rsidRDefault="006C45F4" w:rsidP="00444A6C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Зважаючи на, зокрема, вищевказану інформацію</w:t>
      </w:r>
      <w:r w:rsidR="00E15A7D" w:rsidRPr="001443FE">
        <w:t>,</w:t>
      </w:r>
      <w:r w:rsidRPr="001443FE">
        <w:t xml:space="preserve"> Комітетом розпочато справу </w:t>
      </w:r>
      <w:r w:rsidR="00E15A7D" w:rsidRPr="001443FE">
        <w:br/>
      </w:r>
      <w:r w:rsidRPr="001443FE">
        <w:t xml:space="preserve">№ 127-26.13/56-18 за ознаками вчинення </w:t>
      </w:r>
      <w:r w:rsidRPr="001443FE">
        <w:rPr>
          <w:color w:val="000000"/>
        </w:rPr>
        <w:t xml:space="preserve">порушення </w:t>
      </w:r>
      <w:r w:rsidR="00E15A7D" w:rsidRPr="001443FE">
        <w:rPr>
          <w:color w:val="000000"/>
        </w:rPr>
        <w:t>в</w:t>
      </w:r>
      <w:r w:rsidRPr="001443FE">
        <w:rPr>
          <w:color w:val="000000"/>
        </w:rPr>
        <w:t xml:space="preserve"> діях ТОВ «НАК», передбаченого </w:t>
      </w:r>
      <w:r w:rsidRPr="001443FE">
        <w:rPr>
          <w:color w:val="000000"/>
          <w:spacing w:val="-3"/>
        </w:rPr>
        <w:t>пунктом 15 статті 50 Закону України «Про захист економічної конкуренції».</w:t>
      </w:r>
    </w:p>
    <w:p w:rsidR="005B18A9" w:rsidRPr="001443FE" w:rsidRDefault="00087311" w:rsidP="00444A6C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rPr>
          <w:color w:val="000000"/>
        </w:rPr>
        <w:t xml:space="preserve">Початок </w:t>
      </w:r>
      <w:r w:rsidR="003005E2" w:rsidRPr="001443FE">
        <w:rPr>
          <w:color w:val="000000"/>
        </w:rPr>
        <w:t xml:space="preserve">зазначеного провадження </w:t>
      </w:r>
      <w:r w:rsidR="00E15A7D" w:rsidRPr="001443FE">
        <w:rPr>
          <w:color w:val="000000"/>
        </w:rPr>
        <w:t>спричинило</w:t>
      </w:r>
      <w:r w:rsidRPr="001443FE">
        <w:rPr>
          <w:color w:val="000000"/>
        </w:rPr>
        <w:t xml:space="preserve"> зупинення </w:t>
      </w:r>
      <w:r w:rsidR="00277210" w:rsidRPr="001443FE">
        <w:rPr>
          <w:color w:val="000000"/>
        </w:rPr>
        <w:t xml:space="preserve">справи </w:t>
      </w:r>
      <w:r w:rsidRPr="001443FE">
        <w:t xml:space="preserve">№ 127-26.4/96-16 </w:t>
      </w:r>
      <w:r w:rsidR="00E15A7D" w:rsidRPr="001443FE">
        <w:br/>
      </w:r>
      <w:r w:rsidRPr="001443FE">
        <w:t xml:space="preserve">у зв’язку з </w:t>
      </w:r>
      <w:r w:rsidR="00ED6741" w:rsidRPr="001443FE">
        <w:t xml:space="preserve">наявністю підстави відповідно до частини другої статті 38 Закону України «Про захист економічної конкуренції» та пункту 28 Правил розгляду заяв і справ </w:t>
      </w:r>
      <w:r w:rsidR="00E15A7D" w:rsidRPr="001443FE">
        <w:br/>
      </w:r>
      <w:r w:rsidR="00ED6741" w:rsidRPr="001443FE">
        <w:t xml:space="preserve">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</w:t>
      </w:r>
      <w:r w:rsidR="00E15A7D" w:rsidRPr="001443FE">
        <w:br/>
      </w:r>
      <w:r w:rsidR="00ED6741" w:rsidRPr="001443FE">
        <w:t xml:space="preserve">(у редакції розпорядження Антимонопольного комітету України від 29 червня </w:t>
      </w:r>
      <w:r w:rsidR="00E15A7D" w:rsidRPr="001443FE">
        <w:br/>
      </w:r>
      <w:r w:rsidR="00ED6741" w:rsidRPr="001443FE">
        <w:t>1998 року № 169-р) (із змінами)</w:t>
      </w:r>
      <w:r w:rsidR="005B18A9" w:rsidRPr="001443FE">
        <w:t xml:space="preserve">, що відображено </w:t>
      </w:r>
      <w:r w:rsidR="00E15A7D" w:rsidRPr="001443FE">
        <w:t>в</w:t>
      </w:r>
      <w:r w:rsidR="005B18A9" w:rsidRPr="001443FE">
        <w:t xml:space="preserve"> розпорядженні державного уповноваженого Комітету від 23.07.2018 № 09/134-р.</w:t>
      </w:r>
    </w:p>
    <w:p w:rsidR="00444A6C" w:rsidRPr="001443FE" w:rsidRDefault="00633980" w:rsidP="00444A6C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Зважаючи на </w:t>
      </w:r>
      <w:r w:rsidR="009F5C5B" w:rsidRPr="001443FE">
        <w:t xml:space="preserve">зазначену </w:t>
      </w:r>
      <w:r w:rsidRPr="001443FE">
        <w:t>інформацію</w:t>
      </w:r>
      <w:r w:rsidR="00544591" w:rsidRPr="001443FE">
        <w:t>, враховуючи положення статті 28 Закону України «Про захист від недобросовісної конкуренції</w:t>
      </w:r>
      <w:r w:rsidR="00E15A7D" w:rsidRPr="001443FE">
        <w:t>»</w:t>
      </w:r>
      <w:r w:rsidR="00544591" w:rsidRPr="001443FE">
        <w:t xml:space="preserve">, а також </w:t>
      </w:r>
      <w:r w:rsidR="00E808B8" w:rsidRPr="001443FE">
        <w:t xml:space="preserve">на </w:t>
      </w:r>
      <w:r w:rsidR="009F5C5B" w:rsidRPr="001443FE">
        <w:t>тривалу різницю між календарними датами, що наводили сторони, вказане може мати вплив на висновки Комітету у справі № 127-26.4/96-16</w:t>
      </w:r>
      <w:r w:rsidR="00C26B2F" w:rsidRPr="001443FE">
        <w:t xml:space="preserve"> (тобто</w:t>
      </w:r>
      <w:r w:rsidR="0047413B" w:rsidRPr="001443FE">
        <w:t xml:space="preserve"> </w:t>
      </w:r>
      <w:r w:rsidR="00505E5D" w:rsidRPr="001443FE">
        <w:t xml:space="preserve">внаслідок пропущення </w:t>
      </w:r>
      <w:r w:rsidR="0047413B" w:rsidRPr="001443FE">
        <w:t xml:space="preserve">шести місяців </w:t>
      </w:r>
      <w:r w:rsidR="00E15A7D" w:rsidRPr="001443FE">
        <w:t>і</w:t>
      </w:r>
      <w:r w:rsidR="0047413B" w:rsidRPr="001443FE">
        <w:t>з дня, коли ТОВ «НАК» дізна</w:t>
      </w:r>
      <w:r w:rsidR="00E15A7D" w:rsidRPr="001443FE">
        <w:t>ло</w:t>
      </w:r>
      <w:r w:rsidR="0047413B" w:rsidRPr="001443FE">
        <w:t>ся або повинн</w:t>
      </w:r>
      <w:r w:rsidR="00E15A7D" w:rsidRPr="001443FE">
        <w:t>о</w:t>
      </w:r>
      <w:r w:rsidR="0047413B" w:rsidRPr="001443FE">
        <w:t xml:space="preserve"> бу</w:t>
      </w:r>
      <w:r w:rsidR="00E15A7D" w:rsidRPr="001443FE">
        <w:t>ло</w:t>
      </w:r>
      <w:r w:rsidR="0047413B" w:rsidRPr="001443FE">
        <w:t xml:space="preserve"> дізнатися про порушення своїх прав).</w:t>
      </w:r>
    </w:p>
    <w:p w:rsidR="00B86D6D" w:rsidRPr="001443FE" w:rsidRDefault="00BD1414" w:rsidP="00B86D6D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Проте, </w:t>
      </w:r>
      <w:r w:rsidR="00C26B2F" w:rsidRPr="001443FE">
        <w:t>як вбачається з наявних матеріалів наведених справ</w:t>
      </w:r>
      <w:r w:rsidR="0047413B" w:rsidRPr="001443FE">
        <w:t>, ТОВ «НАК»</w:t>
      </w:r>
      <w:r w:rsidR="00C26B2F" w:rsidRPr="001443FE">
        <w:t xml:space="preserve"> </w:t>
      </w:r>
      <w:r w:rsidR="0047413B" w:rsidRPr="001443FE">
        <w:t>зверну</w:t>
      </w:r>
      <w:r w:rsidR="00E15A7D" w:rsidRPr="001443FE">
        <w:t>ло</w:t>
      </w:r>
      <w:r w:rsidR="0047413B" w:rsidRPr="001443FE">
        <w:t xml:space="preserve">ся </w:t>
      </w:r>
      <w:r w:rsidR="0047413B" w:rsidRPr="001443FE">
        <w:br/>
      </w:r>
      <w:r w:rsidR="00E15A7D" w:rsidRPr="001443FE">
        <w:t>і</w:t>
      </w:r>
      <w:r w:rsidR="0047413B" w:rsidRPr="001443FE">
        <w:t xml:space="preserve">з </w:t>
      </w:r>
      <w:r w:rsidR="00C26B2F" w:rsidRPr="001443FE">
        <w:t>заяв</w:t>
      </w:r>
      <w:r w:rsidR="0047413B" w:rsidRPr="001443FE">
        <w:t xml:space="preserve">ою </w:t>
      </w:r>
      <w:r w:rsidR="00C26B2F" w:rsidRPr="001443FE">
        <w:t xml:space="preserve">про порушення </w:t>
      </w:r>
      <w:r w:rsidR="0047413B" w:rsidRPr="001443FE">
        <w:t xml:space="preserve">своїх прав </w:t>
      </w:r>
      <w:r w:rsidR="00C26B2F" w:rsidRPr="001443FE">
        <w:t>21.01.2016 (вх.</w:t>
      </w:r>
      <w:r w:rsidR="0047413B" w:rsidRPr="001443FE">
        <w:t xml:space="preserve"> </w:t>
      </w:r>
      <w:r w:rsidR="00C26B2F" w:rsidRPr="001443FE">
        <w:t xml:space="preserve">Комітету № 8-01/24-АМ </w:t>
      </w:r>
      <w:r w:rsidR="0047413B" w:rsidRPr="001443FE">
        <w:br/>
      </w:r>
      <w:r w:rsidR="00C26B2F" w:rsidRPr="001443FE">
        <w:t>від 09.02.2016)</w:t>
      </w:r>
      <w:r w:rsidR="0047413B" w:rsidRPr="001443FE">
        <w:t>. Тобто,</w:t>
      </w:r>
      <w:r w:rsidR="00202776" w:rsidRPr="001443FE">
        <w:t xml:space="preserve"> звернувшись у грудні 2015 року, ТОВ «НАК» не пропу</w:t>
      </w:r>
      <w:r w:rsidR="007F3432" w:rsidRPr="001443FE">
        <w:t>стило</w:t>
      </w:r>
      <w:r w:rsidR="00202776" w:rsidRPr="001443FE">
        <w:t xml:space="preserve"> </w:t>
      </w:r>
      <w:r w:rsidR="0047413B" w:rsidRPr="001443FE">
        <w:t>строк</w:t>
      </w:r>
      <w:r w:rsidR="007F3432" w:rsidRPr="001443FE">
        <w:t>у</w:t>
      </w:r>
      <w:r w:rsidR="0047413B" w:rsidRPr="001443FE">
        <w:t xml:space="preserve"> звернення </w:t>
      </w:r>
      <w:r w:rsidR="007F3432" w:rsidRPr="001443FE">
        <w:t>і</w:t>
      </w:r>
      <w:r w:rsidR="0047413B" w:rsidRPr="001443FE">
        <w:t>з заяв</w:t>
      </w:r>
      <w:r w:rsidR="00202776" w:rsidRPr="001443FE">
        <w:t>ою про порушення.</w:t>
      </w:r>
    </w:p>
    <w:p w:rsidR="00B86D6D" w:rsidRPr="001443FE" w:rsidRDefault="00F90F53" w:rsidP="00B86D6D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Окремо </w:t>
      </w:r>
      <w:r w:rsidR="00202776" w:rsidRPr="001443FE">
        <w:t>слід</w:t>
      </w:r>
      <w:r w:rsidR="007F3432" w:rsidRPr="001443FE">
        <w:t xml:space="preserve"> відзначити</w:t>
      </w:r>
      <w:r w:rsidR="00202776" w:rsidRPr="001443FE">
        <w:t xml:space="preserve">, </w:t>
      </w:r>
      <w:r w:rsidRPr="001443FE">
        <w:t xml:space="preserve">що </w:t>
      </w:r>
      <w:r w:rsidR="00423141" w:rsidRPr="001443FE">
        <w:t xml:space="preserve">лист ТОВ «НАК» від 14.12.2015, про який зазначало </w:t>
      </w:r>
      <w:r w:rsidR="00423141" w:rsidRPr="001443FE">
        <w:br/>
        <w:t>ТОВ «ПГТ-Україна»</w:t>
      </w:r>
      <w:r w:rsidR="007F3432" w:rsidRPr="001443FE">
        <w:t xml:space="preserve">, </w:t>
      </w:r>
      <w:r w:rsidR="00423141" w:rsidRPr="001443FE">
        <w:t xml:space="preserve">був відомий Комітету, оскільки його копії містяться </w:t>
      </w:r>
      <w:r w:rsidR="007F3432" w:rsidRPr="001443FE">
        <w:t>в</w:t>
      </w:r>
      <w:r w:rsidR="00423141" w:rsidRPr="001443FE">
        <w:t xml:space="preserve"> матеріалах справ № 127-26.4/96-16 та № 127-26.13/56-18.</w:t>
      </w:r>
    </w:p>
    <w:p w:rsidR="00365604" w:rsidRPr="001443FE" w:rsidRDefault="004D3B70" w:rsidP="00365604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Отже, </w:t>
      </w:r>
      <w:r w:rsidR="003D630F" w:rsidRPr="001443FE">
        <w:t xml:space="preserve">вищевказане </w:t>
      </w:r>
      <w:r w:rsidRPr="001443FE">
        <w:t xml:space="preserve">твердження </w:t>
      </w:r>
      <w:r w:rsidR="00F626FA" w:rsidRPr="001443FE">
        <w:t>ТОВ «ПГТ-Україна»</w:t>
      </w:r>
      <w:r w:rsidRPr="001443FE">
        <w:t xml:space="preserve"> вважаємо неаргументованим.</w:t>
      </w:r>
    </w:p>
    <w:p w:rsidR="00D47640" w:rsidRPr="001443FE" w:rsidRDefault="00606CAA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Також ТОВ «ПГТ-Україна» зазначає </w:t>
      </w:r>
      <w:r w:rsidR="00365604" w:rsidRPr="001443FE">
        <w:t xml:space="preserve">про неврахування його доводів щодо участі </w:t>
      </w:r>
      <w:r w:rsidR="007F3432" w:rsidRPr="001443FE">
        <w:t>в</w:t>
      </w:r>
      <w:r w:rsidR="00365604" w:rsidRPr="001443FE">
        <w:t xml:space="preserve"> Міжнародній агропромисловій виставці «АГРО-2015»</w:t>
      </w:r>
      <w:r w:rsidR="00D47640" w:rsidRPr="001443FE">
        <w:t xml:space="preserve"> обох сторін </w:t>
      </w:r>
      <w:r w:rsidR="00365604" w:rsidRPr="001443FE">
        <w:t>та отрим</w:t>
      </w:r>
      <w:r w:rsidR="007F3432" w:rsidRPr="001443FE">
        <w:t>ання</w:t>
      </w:r>
      <w:r w:rsidR="00365604" w:rsidRPr="001443FE">
        <w:t xml:space="preserve"> </w:t>
      </w:r>
      <w:r w:rsidR="00D47640" w:rsidRPr="001443FE">
        <w:t xml:space="preserve">з липня 2015 року </w:t>
      </w:r>
      <w:r w:rsidR="00365604" w:rsidRPr="001443FE">
        <w:t>ТОВ «НАК» інших рахунків</w:t>
      </w:r>
      <w:r w:rsidR="00D47640" w:rsidRPr="001443FE">
        <w:t xml:space="preserve"> (від 02.07.2015; від 03.09.2015 та </w:t>
      </w:r>
      <w:r w:rsidR="00085EB7" w:rsidRPr="001443FE">
        <w:t xml:space="preserve">від </w:t>
      </w:r>
      <w:r w:rsidR="00D47640" w:rsidRPr="001443FE">
        <w:t>02.11.2015)</w:t>
      </w:r>
      <w:r w:rsidR="00365604" w:rsidRPr="001443FE">
        <w:t xml:space="preserve"> з </w:t>
      </w:r>
      <w:r w:rsidR="00D47640" w:rsidRPr="001443FE">
        <w:t xml:space="preserve">аналогічною інформацією, що містилась у </w:t>
      </w:r>
      <w:r w:rsidR="00C05C13" w:rsidRPr="001443FE">
        <w:t>рахунку від 30.12.2015</w:t>
      </w:r>
      <w:r w:rsidR="00D47640" w:rsidRPr="001443FE">
        <w:t xml:space="preserve">, </w:t>
      </w:r>
      <w:r w:rsidR="00C05C13" w:rsidRPr="001443FE">
        <w:br/>
      </w:r>
      <w:r w:rsidR="00365604" w:rsidRPr="001443FE">
        <w:t xml:space="preserve">а </w:t>
      </w:r>
      <w:r w:rsidR="00D47640" w:rsidRPr="001443FE">
        <w:t xml:space="preserve">також </w:t>
      </w:r>
      <w:r w:rsidR="00365604" w:rsidRPr="001443FE">
        <w:t xml:space="preserve">спростування їх </w:t>
      </w:r>
      <w:r w:rsidR="00C05C13" w:rsidRPr="001443FE">
        <w:t xml:space="preserve">виключно </w:t>
      </w:r>
      <w:r w:rsidR="00D47640" w:rsidRPr="001443FE">
        <w:t>доводами ТОВ «НАК».</w:t>
      </w:r>
    </w:p>
    <w:p w:rsidR="00D47640" w:rsidRPr="001443FE" w:rsidRDefault="00D47640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Щодо зазначеного твердження Комітет повідомляє про таке.</w:t>
      </w:r>
    </w:p>
    <w:p w:rsidR="00A31C58" w:rsidRPr="001443FE" w:rsidRDefault="00A31C58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Комітетом </w:t>
      </w:r>
      <w:r w:rsidR="007F3432" w:rsidRPr="001443FE">
        <w:t>у</w:t>
      </w:r>
      <w:r w:rsidRPr="001443FE">
        <w:t xml:space="preserve"> ході розгляду справи встановлено, що </w:t>
      </w:r>
      <w:r w:rsidR="007F3432" w:rsidRPr="001443FE">
        <w:t>в</w:t>
      </w:r>
      <w:r w:rsidRPr="001443FE">
        <w:t xml:space="preserve"> Міжнародній агропромисловій виставці «АГРО-2015», яка </w:t>
      </w:r>
      <w:r w:rsidR="007F3432" w:rsidRPr="001443FE">
        <w:t xml:space="preserve">відбувалась </w:t>
      </w:r>
      <w:r w:rsidRPr="001443FE">
        <w:t xml:space="preserve">у період з </w:t>
      </w:r>
      <w:r w:rsidR="007F3432" w:rsidRPr="001443FE">
        <w:t>0</w:t>
      </w:r>
      <w:r w:rsidRPr="001443FE">
        <w:t xml:space="preserve">3 по </w:t>
      </w:r>
      <w:r w:rsidR="007F3432" w:rsidRPr="001443FE">
        <w:t>0</w:t>
      </w:r>
      <w:r w:rsidRPr="001443FE">
        <w:t xml:space="preserve">6 червня 2015 року, </w:t>
      </w:r>
      <w:r w:rsidR="007F3432" w:rsidRPr="001443FE">
        <w:br/>
      </w:r>
      <w:r w:rsidR="00D21EF6" w:rsidRPr="001443FE">
        <w:t xml:space="preserve">брали участь, зокрема, ТОВ «ПГТ-Україна» </w:t>
      </w:r>
      <w:r w:rsidR="007F3432" w:rsidRPr="001443FE">
        <w:t>і</w:t>
      </w:r>
      <w:r w:rsidR="00D21EF6" w:rsidRPr="001443FE">
        <w:t xml:space="preserve"> ТОВ «НАК». З огляду на цю обставину, ТОВ «ПГТ-Україна» робить висновок, що протягом вказаного періоду  проведення виставки Заявник не міг не «помітити»</w:t>
      </w:r>
      <w:r w:rsidR="00681511" w:rsidRPr="001443FE">
        <w:t xml:space="preserve"> стенд</w:t>
      </w:r>
      <w:r w:rsidR="007F3432" w:rsidRPr="001443FE">
        <w:t>а</w:t>
      </w:r>
      <w:r w:rsidR="00D21EF6" w:rsidRPr="001443FE">
        <w:t xml:space="preserve"> з інформацією, яка є предметом справи № 127-26.4/96-16.</w:t>
      </w:r>
    </w:p>
    <w:p w:rsidR="00D21EF6" w:rsidRPr="001443FE" w:rsidRDefault="00D21EF6" w:rsidP="00D21EF6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Комітет з огляду на зазначене запитав у протилежної сторони пояснення щодо наведених обставин, </w:t>
      </w:r>
      <w:r w:rsidR="007F3432" w:rsidRPr="001443FE">
        <w:t>і</w:t>
      </w:r>
      <w:r w:rsidR="00774481" w:rsidRPr="001443FE">
        <w:t xml:space="preserve"> </w:t>
      </w:r>
      <w:r w:rsidRPr="001443FE">
        <w:t xml:space="preserve">ТОВ «НАК» повідомило про те, що </w:t>
      </w:r>
      <w:r w:rsidR="007F3432" w:rsidRPr="001443FE">
        <w:t>в</w:t>
      </w:r>
      <w:r w:rsidRPr="001443FE">
        <w:t xml:space="preserve"> нього відсутня інформація про участь ТОВ «ПГТ-Україна» у зазначеній виставці. Тобто, інформація не підтверджен</w:t>
      </w:r>
      <w:r w:rsidR="007F3432" w:rsidRPr="001443FE">
        <w:t>а</w:t>
      </w:r>
      <w:r w:rsidRPr="001443FE">
        <w:t>.</w:t>
      </w:r>
    </w:p>
    <w:p w:rsidR="00D47640" w:rsidRPr="001443FE" w:rsidRDefault="005902E9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Так</w:t>
      </w:r>
      <w:r w:rsidR="00D21EF6" w:rsidRPr="001443FE">
        <w:t xml:space="preserve">ож </w:t>
      </w:r>
      <w:r w:rsidRPr="001443FE">
        <w:t xml:space="preserve">Комітетом </w:t>
      </w:r>
      <w:r w:rsidR="007F3432" w:rsidRPr="001443FE">
        <w:t>у</w:t>
      </w:r>
      <w:r w:rsidRPr="001443FE">
        <w:t xml:space="preserve"> ході аналізу зазначеної інформації</w:t>
      </w:r>
      <w:r w:rsidR="00A31C58" w:rsidRPr="001443FE">
        <w:t xml:space="preserve"> встановлено, що </w:t>
      </w:r>
      <w:r w:rsidR="00D21EF6" w:rsidRPr="001443FE">
        <w:t xml:space="preserve">вищевказані </w:t>
      </w:r>
      <w:r w:rsidR="00A31C58" w:rsidRPr="001443FE">
        <w:t>рахунки</w:t>
      </w:r>
      <w:r w:rsidR="00D21EF6" w:rsidRPr="001443FE">
        <w:t xml:space="preserve"> (від 02.07.2015; від 03.09.2015 та </w:t>
      </w:r>
      <w:r w:rsidR="00774481" w:rsidRPr="001443FE">
        <w:t xml:space="preserve">від </w:t>
      </w:r>
      <w:r w:rsidR="00D21EF6" w:rsidRPr="001443FE">
        <w:t xml:space="preserve">02.11.2015) були отримані </w:t>
      </w:r>
      <w:r w:rsidR="009B3C31" w:rsidRPr="001443FE">
        <w:t xml:space="preserve">уповноваженою особою </w:t>
      </w:r>
      <w:r w:rsidR="00D21EF6" w:rsidRPr="001443FE">
        <w:t>ТОВ «НАК»</w:t>
      </w:r>
      <w:r w:rsidR="009B3C31" w:rsidRPr="001443FE">
        <w:t xml:space="preserve">. Проте факт отримання рахунку та його сплата </w:t>
      </w:r>
      <w:r w:rsidR="007F3432" w:rsidRPr="001443FE">
        <w:br/>
      </w:r>
      <w:r w:rsidR="009B3C31" w:rsidRPr="001443FE">
        <w:t>не мож</w:t>
      </w:r>
      <w:r w:rsidR="007F3432" w:rsidRPr="001443FE">
        <w:t>уть</w:t>
      </w:r>
      <w:r w:rsidR="009B3C31" w:rsidRPr="001443FE">
        <w:t xml:space="preserve"> </w:t>
      </w:r>
      <w:r w:rsidR="007F3432" w:rsidRPr="001443FE">
        <w:t xml:space="preserve">бути </w:t>
      </w:r>
      <w:r w:rsidR="009B3C31" w:rsidRPr="001443FE">
        <w:t xml:space="preserve">тією обставиною, що підтверджує </w:t>
      </w:r>
      <w:r w:rsidR="001344CB" w:rsidRPr="001443FE">
        <w:t>ознайомлення з усією інформацією, що не стосується даних (реквізитів) для здійснення оплати за ними.</w:t>
      </w:r>
    </w:p>
    <w:p w:rsidR="001344CB" w:rsidRPr="001443FE" w:rsidRDefault="001344CB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Тому такі доводи ТОВ «ПГТ-Україна» не можуть бути взяті до уваги як достовірний (об’єктивний) доказ.</w:t>
      </w:r>
    </w:p>
    <w:p w:rsidR="007951E6" w:rsidRPr="001443FE" w:rsidRDefault="007951E6" w:rsidP="007951E6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Отже, зазначене твердження ТОВ «ПГТ-Україна» Комітет не може взяти до уваги.</w:t>
      </w:r>
    </w:p>
    <w:p w:rsidR="001344CB" w:rsidRPr="001443FE" w:rsidRDefault="007951E6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lastRenderedPageBreak/>
        <w:t xml:space="preserve">Щодо </w:t>
      </w:r>
      <w:r w:rsidR="00444E1E" w:rsidRPr="001443FE">
        <w:t xml:space="preserve">тверджень ТОВ «ПГТ-Україна» про безпідставне </w:t>
      </w:r>
      <w:r w:rsidR="007F3432" w:rsidRPr="001443FE">
        <w:t>неврахування</w:t>
      </w:r>
      <w:r w:rsidR="00444E1E" w:rsidRPr="001443FE">
        <w:t xml:space="preserve"> пояснень Сидорова І.О.</w:t>
      </w:r>
      <w:r w:rsidR="00F57DCE" w:rsidRPr="001443FE">
        <w:t>, зазначаємо.</w:t>
      </w:r>
    </w:p>
    <w:p w:rsidR="00F57DCE" w:rsidRPr="001443FE" w:rsidRDefault="007F3432" w:rsidP="00D47640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У</w:t>
      </w:r>
      <w:r w:rsidR="004620EB" w:rsidRPr="001443FE">
        <w:t xml:space="preserve"> ході розгляду </w:t>
      </w:r>
      <w:r w:rsidR="00774481" w:rsidRPr="001443FE">
        <w:t xml:space="preserve">справи </w:t>
      </w:r>
      <w:r w:rsidR="004620EB" w:rsidRPr="001443FE">
        <w:t>№ 127-26.13/56-18</w:t>
      </w:r>
      <w:r w:rsidRPr="001443FE">
        <w:t xml:space="preserve"> </w:t>
      </w:r>
      <w:r w:rsidR="004620EB" w:rsidRPr="001443FE">
        <w:t xml:space="preserve">Комітетом уточнено інформацію щодо отримання брошури та рекламного </w:t>
      </w:r>
      <w:proofErr w:type="spellStart"/>
      <w:r w:rsidR="004620EB" w:rsidRPr="001443FE">
        <w:t>буклет</w:t>
      </w:r>
      <w:r w:rsidRPr="001443FE">
        <w:t>а</w:t>
      </w:r>
      <w:proofErr w:type="spellEnd"/>
      <w:r w:rsidR="004620EB" w:rsidRPr="001443FE">
        <w:t xml:space="preserve"> п</w:t>
      </w:r>
      <w:r w:rsidRPr="001443FE">
        <w:t>р</w:t>
      </w:r>
      <w:r w:rsidR="004620EB" w:rsidRPr="001443FE">
        <w:t>о рукав</w:t>
      </w:r>
      <w:r w:rsidRPr="001443FE">
        <w:t>и</w:t>
      </w:r>
      <w:r w:rsidR="004620EB" w:rsidRPr="001443FE">
        <w:t xml:space="preserve"> високого тиску «HYDRAFLEX», зокрема, посадовими особами ТОВ «НАК», а саме</w:t>
      </w:r>
      <w:r w:rsidRPr="001443FE">
        <w:t>:</w:t>
      </w:r>
      <w:r w:rsidR="004620EB" w:rsidRPr="001443FE">
        <w:t xml:space="preserve"> </w:t>
      </w:r>
      <w:proofErr w:type="spellStart"/>
      <w:r w:rsidR="004620EB" w:rsidRPr="001443FE">
        <w:t>Куштою</w:t>
      </w:r>
      <w:proofErr w:type="spellEnd"/>
      <w:r w:rsidR="004620EB" w:rsidRPr="001443FE">
        <w:t xml:space="preserve"> В.М. та/або </w:t>
      </w:r>
      <w:proofErr w:type="spellStart"/>
      <w:r w:rsidR="004620EB" w:rsidRPr="001443FE">
        <w:t>Дакелиним</w:t>
      </w:r>
      <w:proofErr w:type="spellEnd"/>
      <w:r w:rsidR="004620EB" w:rsidRPr="001443FE">
        <w:t xml:space="preserve"> О.О. та/або Александровським О.В. (про яких зазначає</w:t>
      </w:r>
      <w:r w:rsidRPr="001443FE">
        <w:t xml:space="preserve"> </w:t>
      </w:r>
      <w:r w:rsidR="004620EB" w:rsidRPr="001443FE">
        <w:t>Сидоров</w:t>
      </w:r>
      <w:r w:rsidRPr="001443FE">
        <w:t xml:space="preserve"> </w:t>
      </w:r>
      <w:r w:rsidR="004620EB" w:rsidRPr="001443FE">
        <w:t>І.О.).</w:t>
      </w:r>
    </w:p>
    <w:p w:rsidR="002C6931" w:rsidRPr="001443FE" w:rsidRDefault="002C6931" w:rsidP="002C6931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За повідомленням ТОВ «НАК»</w:t>
      </w:r>
      <w:r w:rsidR="007F3432" w:rsidRPr="001443FE">
        <w:t>,</w:t>
      </w:r>
      <w:r w:rsidRPr="001443FE">
        <w:t xml:space="preserve"> інформація про наявність стенд</w:t>
      </w:r>
      <w:r w:rsidR="007F3432" w:rsidRPr="001443FE">
        <w:t>а</w:t>
      </w:r>
      <w:r w:rsidRPr="001443FE">
        <w:t xml:space="preserve"> з продукцією з позначенням «HYDRAFLEX» та/або рекламний буклет і брошури із зазначеною продукцією під час та/або після виставки «Агро-2015» вищевказаним особам не надавал</w:t>
      </w:r>
      <w:r w:rsidR="007F3432" w:rsidRPr="001443FE">
        <w:t>и</w:t>
      </w:r>
      <w:r w:rsidRPr="001443FE">
        <w:t>сь.</w:t>
      </w:r>
    </w:p>
    <w:p w:rsidR="002C6931" w:rsidRPr="001443FE" w:rsidRDefault="002C6931" w:rsidP="002C6931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Тобто, як вже зазначалось вище, інформація щодо отримання </w:t>
      </w:r>
      <w:r w:rsidR="00774481" w:rsidRPr="001443FE">
        <w:t xml:space="preserve">брошури та рекламного </w:t>
      </w:r>
      <w:proofErr w:type="spellStart"/>
      <w:r w:rsidR="00774481" w:rsidRPr="001443FE">
        <w:t>буклет</w:t>
      </w:r>
      <w:r w:rsidR="007F3432" w:rsidRPr="001443FE">
        <w:t>а</w:t>
      </w:r>
      <w:proofErr w:type="spellEnd"/>
      <w:r w:rsidR="00774481" w:rsidRPr="001443FE">
        <w:t xml:space="preserve"> п</w:t>
      </w:r>
      <w:r w:rsidR="007F3432" w:rsidRPr="001443FE">
        <w:t>р</w:t>
      </w:r>
      <w:r w:rsidR="00774481" w:rsidRPr="001443FE">
        <w:t>о рукав</w:t>
      </w:r>
      <w:r w:rsidR="001C0666" w:rsidRPr="001443FE">
        <w:t>и</w:t>
      </w:r>
      <w:r w:rsidR="00774481" w:rsidRPr="001443FE">
        <w:t xml:space="preserve"> високого тиску «HYDRAFLEX» </w:t>
      </w:r>
      <w:r w:rsidRPr="001443FE">
        <w:t xml:space="preserve">належною посадовою особою </w:t>
      </w:r>
      <w:r w:rsidR="004F107C" w:rsidRPr="001443FE">
        <w:br/>
      </w:r>
      <w:r w:rsidRPr="001443FE">
        <w:t>ТОВ «НАК» не підтверджен</w:t>
      </w:r>
      <w:r w:rsidR="007F3432" w:rsidRPr="001443FE">
        <w:t>а</w:t>
      </w:r>
      <w:r w:rsidRPr="001443FE">
        <w:t>.</w:t>
      </w:r>
    </w:p>
    <w:p w:rsidR="00DD75AD" w:rsidRPr="001443FE" w:rsidRDefault="00DD75AD" w:rsidP="00606CAA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 xml:space="preserve">Враховуючи наведене, викладені </w:t>
      </w:r>
      <w:r w:rsidR="006C163E" w:rsidRPr="001443FE">
        <w:t>ТОВ «ПГТ-Україна»</w:t>
      </w:r>
      <w:r w:rsidRPr="001443FE">
        <w:t xml:space="preserve"> зауваження та заперечення не спростовують </w:t>
      </w:r>
      <w:r w:rsidR="006C163E" w:rsidRPr="001443FE">
        <w:t>висновків, наведених у поданні</w:t>
      </w:r>
      <w:r w:rsidRPr="001443FE">
        <w:t>.</w:t>
      </w:r>
    </w:p>
    <w:p w:rsidR="00875A05" w:rsidRPr="001443FE" w:rsidRDefault="00875A05" w:rsidP="00875A05">
      <w:pPr>
        <w:pStyle w:val="a3"/>
        <w:numPr>
          <w:ilvl w:val="1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</w:pPr>
      <w:r w:rsidRPr="001443FE">
        <w:t>Відповідно до статті 49 Закону України «Про захист економічної конкуренції» розгляд справи про порушення підлягає закриттю без прийняття рішення по суті, якщо не доведено вчинення порушення.</w:t>
      </w:r>
    </w:p>
    <w:p w:rsidR="00B16768" w:rsidRPr="001443FE" w:rsidRDefault="00B16768" w:rsidP="00875A05">
      <w:pPr>
        <w:pStyle w:val="a3"/>
        <w:tabs>
          <w:tab w:val="left" w:pos="7110"/>
        </w:tabs>
        <w:spacing w:before="0" w:beforeAutospacing="0" w:after="0" w:afterAutospacing="0"/>
        <w:ind w:firstLine="567"/>
        <w:jc w:val="both"/>
      </w:pPr>
    </w:p>
    <w:p w:rsidR="00E37833" w:rsidRPr="001443FE" w:rsidRDefault="003677B1" w:rsidP="00875A05">
      <w:pPr>
        <w:pStyle w:val="a3"/>
        <w:tabs>
          <w:tab w:val="left" w:pos="7110"/>
        </w:tabs>
        <w:spacing w:before="0" w:beforeAutospacing="0" w:after="0" w:afterAutospacing="0"/>
        <w:ind w:firstLine="567"/>
        <w:jc w:val="both"/>
        <w:rPr>
          <w:i/>
        </w:rPr>
      </w:pPr>
      <w:r w:rsidRPr="001443FE">
        <w:t>Враховуючи викладене, керуючись статтею 7 Закону України «Про Антимонопольний комітет України», статт</w:t>
      </w:r>
      <w:r w:rsidR="00774481" w:rsidRPr="001443FE">
        <w:t>ями 48 і</w:t>
      </w:r>
      <w:r w:rsidRPr="001443FE">
        <w:t xml:space="preserve">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</w:t>
      </w:r>
      <w:r w:rsidR="00875A05" w:rsidRPr="001443FE">
        <w:t xml:space="preserve"> </w:t>
      </w:r>
      <w:r w:rsidRPr="001443FE">
        <w:t xml:space="preserve">5, зареєстрованих у Міністерстві юстиції України </w:t>
      </w:r>
      <w:r w:rsidR="00875A05" w:rsidRPr="001443FE">
        <w:br/>
        <w:t xml:space="preserve">6 травня 1994 року за № </w:t>
      </w:r>
      <w:r w:rsidRPr="001443FE">
        <w:t xml:space="preserve">90/299 (у редакції розпорядження Антимонопольного </w:t>
      </w:r>
      <w:r w:rsidR="00875A05" w:rsidRPr="001443FE">
        <w:t xml:space="preserve">комітету України від 29 </w:t>
      </w:r>
      <w:r w:rsidRPr="001443FE">
        <w:t>червня 1998 року № 169-р) (із змінами), Антимонопольний комітет України</w:t>
      </w:r>
    </w:p>
    <w:p w:rsidR="00875A05" w:rsidRPr="001443FE" w:rsidRDefault="00875A05" w:rsidP="0019512B">
      <w:pPr>
        <w:jc w:val="center"/>
        <w:outlineLvl w:val="0"/>
        <w:rPr>
          <w:b/>
          <w:sz w:val="26"/>
        </w:rPr>
      </w:pPr>
    </w:p>
    <w:p w:rsidR="00E37833" w:rsidRPr="001443FE" w:rsidRDefault="00E37833" w:rsidP="0019512B">
      <w:pPr>
        <w:jc w:val="center"/>
        <w:outlineLvl w:val="0"/>
        <w:rPr>
          <w:b/>
          <w:sz w:val="26"/>
        </w:rPr>
      </w:pPr>
      <w:r w:rsidRPr="001443FE">
        <w:rPr>
          <w:b/>
          <w:sz w:val="26"/>
        </w:rPr>
        <w:t>ПОСТАНОВИВ:</w:t>
      </w:r>
    </w:p>
    <w:p w:rsidR="00875A05" w:rsidRPr="001443FE" w:rsidRDefault="00875A05" w:rsidP="0019512B">
      <w:pPr>
        <w:jc w:val="center"/>
        <w:outlineLvl w:val="0"/>
        <w:rPr>
          <w:b/>
          <w:sz w:val="26"/>
        </w:rPr>
      </w:pPr>
    </w:p>
    <w:p w:rsidR="00875A05" w:rsidRPr="001443FE" w:rsidRDefault="003677B1" w:rsidP="00875A05">
      <w:pPr>
        <w:ind w:firstLine="567"/>
        <w:jc w:val="both"/>
      </w:pPr>
      <w:r w:rsidRPr="001443FE">
        <w:t>Закрити провадження у справі № 127-26.13/56-18.</w:t>
      </w:r>
    </w:p>
    <w:p w:rsidR="00986FC7" w:rsidRPr="001443FE" w:rsidRDefault="00986FC7" w:rsidP="00875A05">
      <w:pPr>
        <w:ind w:firstLine="567"/>
        <w:jc w:val="both"/>
      </w:pPr>
    </w:p>
    <w:p w:rsidR="00E37833" w:rsidRPr="001443FE" w:rsidRDefault="00E37833" w:rsidP="00875A05">
      <w:pPr>
        <w:ind w:firstLine="567"/>
        <w:jc w:val="both"/>
      </w:pPr>
      <w:r w:rsidRPr="001443FE">
        <w:t xml:space="preserve">Рішення може бути оскаржене до господарського суду міста Києва у двомісячний строк з дня </w:t>
      </w:r>
      <w:r w:rsidR="00C76759" w:rsidRPr="001443FE">
        <w:t xml:space="preserve">його </w:t>
      </w:r>
      <w:r w:rsidRPr="001443FE">
        <w:t>одержання.</w:t>
      </w:r>
    </w:p>
    <w:p w:rsidR="00E37833" w:rsidRPr="001443FE" w:rsidRDefault="00E37833" w:rsidP="0019512B">
      <w:pPr>
        <w:pStyle w:val="a3"/>
        <w:tabs>
          <w:tab w:val="left" w:pos="7110"/>
        </w:tabs>
        <w:spacing w:before="0" w:beforeAutospacing="0" w:after="0" w:afterAutospacing="0"/>
        <w:jc w:val="both"/>
      </w:pPr>
    </w:p>
    <w:p w:rsidR="00E37833" w:rsidRPr="001443FE" w:rsidRDefault="00E37833" w:rsidP="0019512B">
      <w:pPr>
        <w:pStyle w:val="a3"/>
        <w:tabs>
          <w:tab w:val="left" w:pos="7110"/>
        </w:tabs>
        <w:spacing w:before="0" w:beforeAutospacing="0" w:after="0" w:afterAutospacing="0"/>
        <w:jc w:val="both"/>
      </w:pPr>
    </w:p>
    <w:p w:rsidR="007D486A" w:rsidRPr="00EB3A0A" w:rsidRDefault="00E37833" w:rsidP="0019512B">
      <w:pPr>
        <w:jc w:val="both"/>
      </w:pPr>
      <w:r w:rsidRPr="001443FE">
        <w:t>Голова Комітету</w:t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CF6CB5" w:rsidRPr="001443FE">
        <w:tab/>
      </w:r>
      <w:r w:rsidR="004F2637" w:rsidRPr="001443FE">
        <w:t>О. ПІЩАНСЬКА</w:t>
      </w:r>
    </w:p>
    <w:sectPr w:rsidR="007D486A" w:rsidRPr="00EB3A0A" w:rsidSect="001E4832">
      <w:headerReference w:type="even" r:id="rId11"/>
      <w:headerReference w:type="default" r:id="rId12"/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B9" w:rsidRDefault="003265B9" w:rsidP="00A70E41">
      <w:r>
        <w:separator/>
      </w:r>
    </w:p>
  </w:endnote>
  <w:endnote w:type="continuationSeparator" w:id="0">
    <w:p w:rsidR="003265B9" w:rsidRDefault="003265B9" w:rsidP="00A7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DD" w:rsidRDefault="00F359DD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B9" w:rsidRDefault="003265B9" w:rsidP="00A70E41">
      <w:r>
        <w:separator/>
      </w:r>
    </w:p>
  </w:footnote>
  <w:footnote w:type="continuationSeparator" w:id="0">
    <w:p w:rsidR="003265B9" w:rsidRDefault="003265B9" w:rsidP="00A70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DD" w:rsidRDefault="00F359DD" w:rsidP="00D33CCF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59DD" w:rsidRDefault="00F359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13" w:rsidRDefault="00A06F1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44F4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4F57"/>
    <w:multiLevelType w:val="hybridMultilevel"/>
    <w:tmpl w:val="93661E42"/>
    <w:lvl w:ilvl="0" w:tplc="34D2CC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AC960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02EAA"/>
    <w:multiLevelType w:val="multilevel"/>
    <w:tmpl w:val="78D28F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0EC79ED"/>
    <w:multiLevelType w:val="hybridMultilevel"/>
    <w:tmpl w:val="AE6E4C04"/>
    <w:lvl w:ilvl="0" w:tplc="54EA17A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2D4BA8"/>
    <w:multiLevelType w:val="hybridMultilevel"/>
    <w:tmpl w:val="DABE5370"/>
    <w:lvl w:ilvl="0" w:tplc="08727D92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22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F916938"/>
    <w:multiLevelType w:val="hybridMultilevel"/>
    <w:tmpl w:val="97D428E4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6D39DE"/>
    <w:multiLevelType w:val="hybridMultilevel"/>
    <w:tmpl w:val="DC949FEE"/>
    <w:lvl w:ilvl="0" w:tplc="FE5A6B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CAA0E2A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A6717AF"/>
    <w:multiLevelType w:val="hybridMultilevel"/>
    <w:tmpl w:val="AA62FCF6"/>
    <w:lvl w:ilvl="0" w:tplc="87B0EC3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E6C57C1"/>
    <w:multiLevelType w:val="hybridMultilevel"/>
    <w:tmpl w:val="575CDB1C"/>
    <w:lvl w:ilvl="0" w:tplc="3A72714E">
      <w:start w:val="1"/>
      <w:numFmt w:val="lowerRoman"/>
      <w:lvlText w:val="(%1)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C142997"/>
    <w:multiLevelType w:val="hybridMultilevel"/>
    <w:tmpl w:val="1096BF5A"/>
    <w:lvl w:ilvl="0" w:tplc="63228E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FB553D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712B4EEE"/>
    <w:multiLevelType w:val="hybridMultilevel"/>
    <w:tmpl w:val="7EDC58E8"/>
    <w:lvl w:ilvl="0" w:tplc="54EA17A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cs="Times New Roman" w:hint="default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B07211"/>
    <w:multiLevelType w:val="hybridMultilevel"/>
    <w:tmpl w:val="2C3426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8522AD0"/>
    <w:multiLevelType w:val="hybridMultilevel"/>
    <w:tmpl w:val="7EDC58E8"/>
    <w:lvl w:ilvl="0" w:tplc="54EA17A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49F237D4">
      <w:start w:val="1"/>
      <w:numFmt w:val="decimal"/>
      <w:lvlText w:val="%3."/>
      <w:lvlJc w:val="left"/>
      <w:pPr>
        <w:ind w:left="2985" w:hanging="1005"/>
      </w:pPr>
      <w:rPr>
        <w:rFonts w:cs="Times New Roman" w:hint="default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500016"/>
    <w:multiLevelType w:val="hybridMultilevel"/>
    <w:tmpl w:val="D2CEC7AA"/>
    <w:lvl w:ilvl="0" w:tplc="CB6A25A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4"/>
  </w:num>
  <w:num w:numId="9">
    <w:abstractNumId w:val="3"/>
  </w:num>
  <w:num w:numId="10">
    <w:abstractNumId w:val="0"/>
  </w:num>
  <w:num w:numId="11">
    <w:abstractNumId w:val="5"/>
  </w:num>
  <w:num w:numId="12">
    <w:abstractNumId w:val="13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CB"/>
    <w:rsid w:val="00001F19"/>
    <w:rsid w:val="00005578"/>
    <w:rsid w:val="00007A2D"/>
    <w:rsid w:val="00016C11"/>
    <w:rsid w:val="00017DB7"/>
    <w:rsid w:val="0002448C"/>
    <w:rsid w:val="00026658"/>
    <w:rsid w:val="00026D39"/>
    <w:rsid w:val="000339FF"/>
    <w:rsid w:val="00033F50"/>
    <w:rsid w:val="000358AD"/>
    <w:rsid w:val="00035A6E"/>
    <w:rsid w:val="0004168F"/>
    <w:rsid w:val="000444D6"/>
    <w:rsid w:val="000520DF"/>
    <w:rsid w:val="0005438A"/>
    <w:rsid w:val="000764F6"/>
    <w:rsid w:val="00083825"/>
    <w:rsid w:val="00083EA4"/>
    <w:rsid w:val="00085EB7"/>
    <w:rsid w:val="0008631D"/>
    <w:rsid w:val="00087311"/>
    <w:rsid w:val="00090917"/>
    <w:rsid w:val="00091DC0"/>
    <w:rsid w:val="0009232C"/>
    <w:rsid w:val="00095ACC"/>
    <w:rsid w:val="000974D1"/>
    <w:rsid w:val="000A1A5B"/>
    <w:rsid w:val="000A3A4D"/>
    <w:rsid w:val="000A75BF"/>
    <w:rsid w:val="000A794F"/>
    <w:rsid w:val="000B5912"/>
    <w:rsid w:val="000B5F46"/>
    <w:rsid w:val="000B7690"/>
    <w:rsid w:val="000B786F"/>
    <w:rsid w:val="000C1C0D"/>
    <w:rsid w:val="000C1C6C"/>
    <w:rsid w:val="000D0D23"/>
    <w:rsid w:val="000D220E"/>
    <w:rsid w:val="000D5590"/>
    <w:rsid w:val="000E159C"/>
    <w:rsid w:val="000E3CED"/>
    <w:rsid w:val="000E3F1D"/>
    <w:rsid w:val="000E67CB"/>
    <w:rsid w:val="000E74D6"/>
    <w:rsid w:val="000E79E1"/>
    <w:rsid w:val="000E7FCC"/>
    <w:rsid w:val="000F1221"/>
    <w:rsid w:val="000F78F7"/>
    <w:rsid w:val="00103C83"/>
    <w:rsid w:val="0010691B"/>
    <w:rsid w:val="00106DC6"/>
    <w:rsid w:val="00115D09"/>
    <w:rsid w:val="0012001B"/>
    <w:rsid w:val="0012457C"/>
    <w:rsid w:val="00131F94"/>
    <w:rsid w:val="001344CB"/>
    <w:rsid w:val="00137309"/>
    <w:rsid w:val="00142B31"/>
    <w:rsid w:val="001443FE"/>
    <w:rsid w:val="00144A3C"/>
    <w:rsid w:val="001506A4"/>
    <w:rsid w:val="0015246E"/>
    <w:rsid w:val="0015285D"/>
    <w:rsid w:val="00154CE7"/>
    <w:rsid w:val="001566C4"/>
    <w:rsid w:val="0015747B"/>
    <w:rsid w:val="00165B74"/>
    <w:rsid w:val="00182089"/>
    <w:rsid w:val="00182202"/>
    <w:rsid w:val="00182B3D"/>
    <w:rsid w:val="00186F21"/>
    <w:rsid w:val="00194213"/>
    <w:rsid w:val="00194E49"/>
    <w:rsid w:val="0019512B"/>
    <w:rsid w:val="001A01E3"/>
    <w:rsid w:val="001A54A8"/>
    <w:rsid w:val="001A56D4"/>
    <w:rsid w:val="001A66EA"/>
    <w:rsid w:val="001B0D0F"/>
    <w:rsid w:val="001B227F"/>
    <w:rsid w:val="001B2C59"/>
    <w:rsid w:val="001B595F"/>
    <w:rsid w:val="001B7E1E"/>
    <w:rsid w:val="001C0666"/>
    <w:rsid w:val="001C509C"/>
    <w:rsid w:val="001E07E4"/>
    <w:rsid w:val="001E4473"/>
    <w:rsid w:val="001E4832"/>
    <w:rsid w:val="001E591E"/>
    <w:rsid w:val="001E64F7"/>
    <w:rsid w:val="001F0859"/>
    <w:rsid w:val="001F1407"/>
    <w:rsid w:val="001F649F"/>
    <w:rsid w:val="001F69F5"/>
    <w:rsid w:val="001F7F62"/>
    <w:rsid w:val="00202776"/>
    <w:rsid w:val="00207E2F"/>
    <w:rsid w:val="00210855"/>
    <w:rsid w:val="00213869"/>
    <w:rsid w:val="00215550"/>
    <w:rsid w:val="00215588"/>
    <w:rsid w:val="002155FB"/>
    <w:rsid w:val="00221993"/>
    <w:rsid w:val="002269B2"/>
    <w:rsid w:val="002279BC"/>
    <w:rsid w:val="002333E1"/>
    <w:rsid w:val="0024009B"/>
    <w:rsid w:val="002432C0"/>
    <w:rsid w:val="00243DFF"/>
    <w:rsid w:val="002455ED"/>
    <w:rsid w:val="002468E5"/>
    <w:rsid w:val="0025735E"/>
    <w:rsid w:val="002604C0"/>
    <w:rsid w:val="00261C95"/>
    <w:rsid w:val="002647FE"/>
    <w:rsid w:val="00264EA5"/>
    <w:rsid w:val="00272B1F"/>
    <w:rsid w:val="002769AC"/>
    <w:rsid w:val="0027707C"/>
    <w:rsid w:val="00277210"/>
    <w:rsid w:val="00281DEC"/>
    <w:rsid w:val="00283B20"/>
    <w:rsid w:val="002844F4"/>
    <w:rsid w:val="00284E29"/>
    <w:rsid w:val="002924AF"/>
    <w:rsid w:val="00296DBE"/>
    <w:rsid w:val="002A287D"/>
    <w:rsid w:val="002A3B78"/>
    <w:rsid w:val="002A4B71"/>
    <w:rsid w:val="002A5617"/>
    <w:rsid w:val="002A5C7C"/>
    <w:rsid w:val="002B2E13"/>
    <w:rsid w:val="002B4CB8"/>
    <w:rsid w:val="002B5EB0"/>
    <w:rsid w:val="002C2978"/>
    <w:rsid w:val="002C6931"/>
    <w:rsid w:val="002D150B"/>
    <w:rsid w:val="002D2D8B"/>
    <w:rsid w:val="002D4A9B"/>
    <w:rsid w:val="002E1E2D"/>
    <w:rsid w:val="002E54B3"/>
    <w:rsid w:val="002E774B"/>
    <w:rsid w:val="002F1423"/>
    <w:rsid w:val="002F5113"/>
    <w:rsid w:val="002F6A3A"/>
    <w:rsid w:val="003005E2"/>
    <w:rsid w:val="003013F0"/>
    <w:rsid w:val="0031647F"/>
    <w:rsid w:val="00316E77"/>
    <w:rsid w:val="00321597"/>
    <w:rsid w:val="003265B9"/>
    <w:rsid w:val="003304DB"/>
    <w:rsid w:val="003335A0"/>
    <w:rsid w:val="0033375A"/>
    <w:rsid w:val="0034399F"/>
    <w:rsid w:val="00345D59"/>
    <w:rsid w:val="00361D41"/>
    <w:rsid w:val="00365604"/>
    <w:rsid w:val="00365900"/>
    <w:rsid w:val="00366300"/>
    <w:rsid w:val="003677B1"/>
    <w:rsid w:val="003743B7"/>
    <w:rsid w:val="003800F7"/>
    <w:rsid w:val="00382F35"/>
    <w:rsid w:val="00385010"/>
    <w:rsid w:val="00392664"/>
    <w:rsid w:val="00392C06"/>
    <w:rsid w:val="003A20F6"/>
    <w:rsid w:val="003A4BE5"/>
    <w:rsid w:val="003A7CDB"/>
    <w:rsid w:val="003B217E"/>
    <w:rsid w:val="003B2A8C"/>
    <w:rsid w:val="003B7E38"/>
    <w:rsid w:val="003C2220"/>
    <w:rsid w:val="003D1EC4"/>
    <w:rsid w:val="003D317C"/>
    <w:rsid w:val="003D5C38"/>
    <w:rsid w:val="003D630F"/>
    <w:rsid w:val="003F1DE2"/>
    <w:rsid w:val="003F3A30"/>
    <w:rsid w:val="003F54AE"/>
    <w:rsid w:val="003F762B"/>
    <w:rsid w:val="004028C8"/>
    <w:rsid w:val="00405544"/>
    <w:rsid w:val="004069E9"/>
    <w:rsid w:val="004146C1"/>
    <w:rsid w:val="00417E3F"/>
    <w:rsid w:val="00423141"/>
    <w:rsid w:val="00423A61"/>
    <w:rsid w:val="00424F10"/>
    <w:rsid w:val="00427C5C"/>
    <w:rsid w:val="004360D0"/>
    <w:rsid w:val="00440D9B"/>
    <w:rsid w:val="004439EF"/>
    <w:rsid w:val="00444755"/>
    <w:rsid w:val="00444A6C"/>
    <w:rsid w:val="00444E1E"/>
    <w:rsid w:val="00445A53"/>
    <w:rsid w:val="00447133"/>
    <w:rsid w:val="00447465"/>
    <w:rsid w:val="00447B04"/>
    <w:rsid w:val="0045104D"/>
    <w:rsid w:val="00454633"/>
    <w:rsid w:val="00455FDB"/>
    <w:rsid w:val="00456987"/>
    <w:rsid w:val="004620EB"/>
    <w:rsid w:val="00462E2E"/>
    <w:rsid w:val="00464BAA"/>
    <w:rsid w:val="0046550B"/>
    <w:rsid w:val="004668EA"/>
    <w:rsid w:val="004703A1"/>
    <w:rsid w:val="00472AB5"/>
    <w:rsid w:val="0047372E"/>
    <w:rsid w:val="0047413B"/>
    <w:rsid w:val="00485E87"/>
    <w:rsid w:val="004925BF"/>
    <w:rsid w:val="00493D3B"/>
    <w:rsid w:val="004A1957"/>
    <w:rsid w:val="004A3044"/>
    <w:rsid w:val="004A3E5C"/>
    <w:rsid w:val="004A58F3"/>
    <w:rsid w:val="004B1B73"/>
    <w:rsid w:val="004C1FAE"/>
    <w:rsid w:val="004C5785"/>
    <w:rsid w:val="004D0E81"/>
    <w:rsid w:val="004D3B70"/>
    <w:rsid w:val="004D47B2"/>
    <w:rsid w:val="004D5506"/>
    <w:rsid w:val="004D69E6"/>
    <w:rsid w:val="004D6F8E"/>
    <w:rsid w:val="004E71FA"/>
    <w:rsid w:val="004F107C"/>
    <w:rsid w:val="004F2637"/>
    <w:rsid w:val="004F7BC3"/>
    <w:rsid w:val="00505E5D"/>
    <w:rsid w:val="005061D8"/>
    <w:rsid w:val="00506538"/>
    <w:rsid w:val="00507A6A"/>
    <w:rsid w:val="00511493"/>
    <w:rsid w:val="00516968"/>
    <w:rsid w:val="005311F1"/>
    <w:rsid w:val="00531CA5"/>
    <w:rsid w:val="00531F26"/>
    <w:rsid w:val="00541319"/>
    <w:rsid w:val="00544045"/>
    <w:rsid w:val="00544591"/>
    <w:rsid w:val="00546328"/>
    <w:rsid w:val="0056055D"/>
    <w:rsid w:val="0056059E"/>
    <w:rsid w:val="0056249A"/>
    <w:rsid w:val="005650BF"/>
    <w:rsid w:val="00565DA8"/>
    <w:rsid w:val="005732B7"/>
    <w:rsid w:val="005739F1"/>
    <w:rsid w:val="00577217"/>
    <w:rsid w:val="00580914"/>
    <w:rsid w:val="00581929"/>
    <w:rsid w:val="005829E9"/>
    <w:rsid w:val="00584C99"/>
    <w:rsid w:val="005902E9"/>
    <w:rsid w:val="0059053A"/>
    <w:rsid w:val="00592AA2"/>
    <w:rsid w:val="00593A81"/>
    <w:rsid w:val="005950E2"/>
    <w:rsid w:val="00596146"/>
    <w:rsid w:val="005A28BE"/>
    <w:rsid w:val="005A78A6"/>
    <w:rsid w:val="005B18A9"/>
    <w:rsid w:val="005B3705"/>
    <w:rsid w:val="005B5042"/>
    <w:rsid w:val="005B6A24"/>
    <w:rsid w:val="005B7C41"/>
    <w:rsid w:val="005C1898"/>
    <w:rsid w:val="005C44D2"/>
    <w:rsid w:val="005D7F89"/>
    <w:rsid w:val="005E5795"/>
    <w:rsid w:val="005F20ED"/>
    <w:rsid w:val="005F3605"/>
    <w:rsid w:val="005F4F89"/>
    <w:rsid w:val="005F64F7"/>
    <w:rsid w:val="00601F46"/>
    <w:rsid w:val="00606CAA"/>
    <w:rsid w:val="00613750"/>
    <w:rsid w:val="00616142"/>
    <w:rsid w:val="00626563"/>
    <w:rsid w:val="00627DA5"/>
    <w:rsid w:val="0063275D"/>
    <w:rsid w:val="00633980"/>
    <w:rsid w:val="006351F4"/>
    <w:rsid w:val="00640139"/>
    <w:rsid w:val="006411CA"/>
    <w:rsid w:val="00642C71"/>
    <w:rsid w:val="00647FC5"/>
    <w:rsid w:val="006527F3"/>
    <w:rsid w:val="00652A7B"/>
    <w:rsid w:val="006543E9"/>
    <w:rsid w:val="0065535C"/>
    <w:rsid w:val="00656436"/>
    <w:rsid w:val="00663245"/>
    <w:rsid w:val="00676A24"/>
    <w:rsid w:val="00677182"/>
    <w:rsid w:val="00681511"/>
    <w:rsid w:val="006820BF"/>
    <w:rsid w:val="006869AF"/>
    <w:rsid w:val="006A0E2A"/>
    <w:rsid w:val="006A334E"/>
    <w:rsid w:val="006B007E"/>
    <w:rsid w:val="006B0345"/>
    <w:rsid w:val="006B0883"/>
    <w:rsid w:val="006C163E"/>
    <w:rsid w:val="006C1894"/>
    <w:rsid w:val="006C1E70"/>
    <w:rsid w:val="006C3BAA"/>
    <w:rsid w:val="006C45F4"/>
    <w:rsid w:val="006D0A47"/>
    <w:rsid w:val="006D0FC4"/>
    <w:rsid w:val="006D410A"/>
    <w:rsid w:val="006D7A55"/>
    <w:rsid w:val="006E1DD1"/>
    <w:rsid w:val="006E2945"/>
    <w:rsid w:val="006E39E6"/>
    <w:rsid w:val="006E47CE"/>
    <w:rsid w:val="00714645"/>
    <w:rsid w:val="007201B0"/>
    <w:rsid w:val="00722964"/>
    <w:rsid w:val="00735DB8"/>
    <w:rsid w:val="007424D5"/>
    <w:rsid w:val="0074542A"/>
    <w:rsid w:val="00754020"/>
    <w:rsid w:val="007557FF"/>
    <w:rsid w:val="007559FA"/>
    <w:rsid w:val="00762904"/>
    <w:rsid w:val="00763A50"/>
    <w:rsid w:val="00765C11"/>
    <w:rsid w:val="00774053"/>
    <w:rsid w:val="00774481"/>
    <w:rsid w:val="007752F6"/>
    <w:rsid w:val="00784FA6"/>
    <w:rsid w:val="007865D6"/>
    <w:rsid w:val="007866B7"/>
    <w:rsid w:val="00794A0B"/>
    <w:rsid w:val="007951E6"/>
    <w:rsid w:val="007A1448"/>
    <w:rsid w:val="007A5A3E"/>
    <w:rsid w:val="007B2C48"/>
    <w:rsid w:val="007B3DAB"/>
    <w:rsid w:val="007B72AA"/>
    <w:rsid w:val="007B72DC"/>
    <w:rsid w:val="007C33CC"/>
    <w:rsid w:val="007C54B6"/>
    <w:rsid w:val="007C7F1E"/>
    <w:rsid w:val="007D3F38"/>
    <w:rsid w:val="007D486A"/>
    <w:rsid w:val="007D6EEB"/>
    <w:rsid w:val="007E4507"/>
    <w:rsid w:val="007E53F4"/>
    <w:rsid w:val="007F2C8D"/>
    <w:rsid w:val="007F3432"/>
    <w:rsid w:val="007F357E"/>
    <w:rsid w:val="007F607B"/>
    <w:rsid w:val="00801185"/>
    <w:rsid w:val="00803E82"/>
    <w:rsid w:val="00807392"/>
    <w:rsid w:val="00810414"/>
    <w:rsid w:val="00833050"/>
    <w:rsid w:val="008406D3"/>
    <w:rsid w:val="00841458"/>
    <w:rsid w:val="008462F8"/>
    <w:rsid w:val="008536E7"/>
    <w:rsid w:val="008542DD"/>
    <w:rsid w:val="008556E9"/>
    <w:rsid w:val="00855D2A"/>
    <w:rsid w:val="00860226"/>
    <w:rsid w:val="00860A46"/>
    <w:rsid w:val="00864F9C"/>
    <w:rsid w:val="00865E68"/>
    <w:rsid w:val="00867604"/>
    <w:rsid w:val="00870F55"/>
    <w:rsid w:val="008731CF"/>
    <w:rsid w:val="00875A05"/>
    <w:rsid w:val="00876D67"/>
    <w:rsid w:val="008864E0"/>
    <w:rsid w:val="008903F3"/>
    <w:rsid w:val="00893CA2"/>
    <w:rsid w:val="00893F2D"/>
    <w:rsid w:val="00896307"/>
    <w:rsid w:val="008A23D2"/>
    <w:rsid w:val="008A633B"/>
    <w:rsid w:val="008B051B"/>
    <w:rsid w:val="008B5046"/>
    <w:rsid w:val="008B5E50"/>
    <w:rsid w:val="008B794C"/>
    <w:rsid w:val="008B7FCC"/>
    <w:rsid w:val="008D1278"/>
    <w:rsid w:val="008D2333"/>
    <w:rsid w:val="008D4377"/>
    <w:rsid w:val="008D76C5"/>
    <w:rsid w:val="008E72E8"/>
    <w:rsid w:val="008F1BEF"/>
    <w:rsid w:val="008F6D27"/>
    <w:rsid w:val="008F700F"/>
    <w:rsid w:val="0090089A"/>
    <w:rsid w:val="00903C6A"/>
    <w:rsid w:val="00906CDC"/>
    <w:rsid w:val="009107F1"/>
    <w:rsid w:val="0091197A"/>
    <w:rsid w:val="00912960"/>
    <w:rsid w:val="009132D9"/>
    <w:rsid w:val="009136B8"/>
    <w:rsid w:val="00913995"/>
    <w:rsid w:val="009149ED"/>
    <w:rsid w:val="00916E62"/>
    <w:rsid w:val="009249FA"/>
    <w:rsid w:val="00926065"/>
    <w:rsid w:val="00941E3D"/>
    <w:rsid w:val="00944346"/>
    <w:rsid w:val="00944544"/>
    <w:rsid w:val="00950541"/>
    <w:rsid w:val="009536B1"/>
    <w:rsid w:val="00964CD7"/>
    <w:rsid w:val="00964F21"/>
    <w:rsid w:val="009674C0"/>
    <w:rsid w:val="009678D4"/>
    <w:rsid w:val="00967F6D"/>
    <w:rsid w:val="00970531"/>
    <w:rsid w:val="009767C0"/>
    <w:rsid w:val="00986FC7"/>
    <w:rsid w:val="009937A2"/>
    <w:rsid w:val="009A0644"/>
    <w:rsid w:val="009A6397"/>
    <w:rsid w:val="009B0631"/>
    <w:rsid w:val="009B3C31"/>
    <w:rsid w:val="009B4995"/>
    <w:rsid w:val="009B6ED0"/>
    <w:rsid w:val="009B7B7E"/>
    <w:rsid w:val="009B7CA6"/>
    <w:rsid w:val="009C211C"/>
    <w:rsid w:val="009C2962"/>
    <w:rsid w:val="009D3190"/>
    <w:rsid w:val="009D7CC4"/>
    <w:rsid w:val="009E0BFE"/>
    <w:rsid w:val="009E18CD"/>
    <w:rsid w:val="009E2683"/>
    <w:rsid w:val="009E73A6"/>
    <w:rsid w:val="009F5C5B"/>
    <w:rsid w:val="009F613D"/>
    <w:rsid w:val="009F6EDC"/>
    <w:rsid w:val="00A0249A"/>
    <w:rsid w:val="00A06E5F"/>
    <w:rsid w:val="00A06F13"/>
    <w:rsid w:val="00A0742C"/>
    <w:rsid w:val="00A11412"/>
    <w:rsid w:val="00A14255"/>
    <w:rsid w:val="00A2209E"/>
    <w:rsid w:val="00A230E7"/>
    <w:rsid w:val="00A24B77"/>
    <w:rsid w:val="00A30707"/>
    <w:rsid w:val="00A31C58"/>
    <w:rsid w:val="00A35CAD"/>
    <w:rsid w:val="00A41435"/>
    <w:rsid w:val="00A42E6C"/>
    <w:rsid w:val="00A535FE"/>
    <w:rsid w:val="00A57B50"/>
    <w:rsid w:val="00A618EA"/>
    <w:rsid w:val="00A63EBD"/>
    <w:rsid w:val="00A66562"/>
    <w:rsid w:val="00A70E41"/>
    <w:rsid w:val="00A73486"/>
    <w:rsid w:val="00A76471"/>
    <w:rsid w:val="00A80A00"/>
    <w:rsid w:val="00A842C9"/>
    <w:rsid w:val="00A86E04"/>
    <w:rsid w:val="00A87E84"/>
    <w:rsid w:val="00A90AB4"/>
    <w:rsid w:val="00AA07A1"/>
    <w:rsid w:val="00AA624F"/>
    <w:rsid w:val="00AB1DC2"/>
    <w:rsid w:val="00AB326C"/>
    <w:rsid w:val="00AB3EB0"/>
    <w:rsid w:val="00AB5CF7"/>
    <w:rsid w:val="00AB5DBE"/>
    <w:rsid w:val="00AC4B3A"/>
    <w:rsid w:val="00AD07E8"/>
    <w:rsid w:val="00AD3446"/>
    <w:rsid w:val="00AD62E0"/>
    <w:rsid w:val="00AD7AC9"/>
    <w:rsid w:val="00AE3DC1"/>
    <w:rsid w:val="00AE477B"/>
    <w:rsid w:val="00AE5471"/>
    <w:rsid w:val="00AF094B"/>
    <w:rsid w:val="00AF3D3C"/>
    <w:rsid w:val="00AF4A7C"/>
    <w:rsid w:val="00AF5E96"/>
    <w:rsid w:val="00AF64F4"/>
    <w:rsid w:val="00AF6BF3"/>
    <w:rsid w:val="00AF6CB1"/>
    <w:rsid w:val="00AF6FA8"/>
    <w:rsid w:val="00B01A43"/>
    <w:rsid w:val="00B04B37"/>
    <w:rsid w:val="00B04B61"/>
    <w:rsid w:val="00B1254A"/>
    <w:rsid w:val="00B16768"/>
    <w:rsid w:val="00B23933"/>
    <w:rsid w:val="00B23B95"/>
    <w:rsid w:val="00B23DC5"/>
    <w:rsid w:val="00B34E47"/>
    <w:rsid w:val="00B36D64"/>
    <w:rsid w:val="00B441A2"/>
    <w:rsid w:val="00B457C4"/>
    <w:rsid w:val="00B65AB7"/>
    <w:rsid w:val="00B7357C"/>
    <w:rsid w:val="00B747D0"/>
    <w:rsid w:val="00B7757B"/>
    <w:rsid w:val="00B8231D"/>
    <w:rsid w:val="00B827F5"/>
    <w:rsid w:val="00B8454D"/>
    <w:rsid w:val="00B8463F"/>
    <w:rsid w:val="00B8613B"/>
    <w:rsid w:val="00B86D6D"/>
    <w:rsid w:val="00B913CD"/>
    <w:rsid w:val="00B91E72"/>
    <w:rsid w:val="00BB3843"/>
    <w:rsid w:val="00BB7F4B"/>
    <w:rsid w:val="00BC6429"/>
    <w:rsid w:val="00BD1414"/>
    <w:rsid w:val="00BD47AD"/>
    <w:rsid w:val="00BD582E"/>
    <w:rsid w:val="00BE1942"/>
    <w:rsid w:val="00BE2DD5"/>
    <w:rsid w:val="00BF02B1"/>
    <w:rsid w:val="00BF0DA6"/>
    <w:rsid w:val="00BF1817"/>
    <w:rsid w:val="00BF18CC"/>
    <w:rsid w:val="00BF22BE"/>
    <w:rsid w:val="00BF4469"/>
    <w:rsid w:val="00BF65B6"/>
    <w:rsid w:val="00C05C13"/>
    <w:rsid w:val="00C101B2"/>
    <w:rsid w:val="00C10A11"/>
    <w:rsid w:val="00C12626"/>
    <w:rsid w:val="00C133D8"/>
    <w:rsid w:val="00C15225"/>
    <w:rsid w:val="00C152D6"/>
    <w:rsid w:val="00C1616C"/>
    <w:rsid w:val="00C1719F"/>
    <w:rsid w:val="00C25A8B"/>
    <w:rsid w:val="00C26B2F"/>
    <w:rsid w:val="00C27EE8"/>
    <w:rsid w:val="00C36839"/>
    <w:rsid w:val="00C46CF4"/>
    <w:rsid w:val="00C533DB"/>
    <w:rsid w:val="00C61B03"/>
    <w:rsid w:val="00C61CB8"/>
    <w:rsid w:val="00C6386E"/>
    <w:rsid w:val="00C64ABD"/>
    <w:rsid w:val="00C71461"/>
    <w:rsid w:val="00C72390"/>
    <w:rsid w:val="00C7464D"/>
    <w:rsid w:val="00C75341"/>
    <w:rsid w:val="00C76759"/>
    <w:rsid w:val="00C76933"/>
    <w:rsid w:val="00C80E6A"/>
    <w:rsid w:val="00C81F8D"/>
    <w:rsid w:val="00C85D94"/>
    <w:rsid w:val="00C96103"/>
    <w:rsid w:val="00C96552"/>
    <w:rsid w:val="00CA1A96"/>
    <w:rsid w:val="00CA44AF"/>
    <w:rsid w:val="00CA5172"/>
    <w:rsid w:val="00CA5FDA"/>
    <w:rsid w:val="00CB4A2C"/>
    <w:rsid w:val="00CC0719"/>
    <w:rsid w:val="00CC12A1"/>
    <w:rsid w:val="00CC527F"/>
    <w:rsid w:val="00CC6CCF"/>
    <w:rsid w:val="00CD0568"/>
    <w:rsid w:val="00CD1866"/>
    <w:rsid w:val="00CD39C7"/>
    <w:rsid w:val="00CE3E7D"/>
    <w:rsid w:val="00CF04AF"/>
    <w:rsid w:val="00CF0892"/>
    <w:rsid w:val="00CF108E"/>
    <w:rsid w:val="00CF2B01"/>
    <w:rsid w:val="00CF6371"/>
    <w:rsid w:val="00CF6CB5"/>
    <w:rsid w:val="00D0072D"/>
    <w:rsid w:val="00D00B18"/>
    <w:rsid w:val="00D058E9"/>
    <w:rsid w:val="00D06B33"/>
    <w:rsid w:val="00D104C6"/>
    <w:rsid w:val="00D12EDA"/>
    <w:rsid w:val="00D16842"/>
    <w:rsid w:val="00D2161C"/>
    <w:rsid w:val="00D21EF6"/>
    <w:rsid w:val="00D2236F"/>
    <w:rsid w:val="00D22F1A"/>
    <w:rsid w:val="00D33CCF"/>
    <w:rsid w:val="00D4000C"/>
    <w:rsid w:val="00D45276"/>
    <w:rsid w:val="00D47640"/>
    <w:rsid w:val="00D51E76"/>
    <w:rsid w:val="00D60593"/>
    <w:rsid w:val="00D61348"/>
    <w:rsid w:val="00D665D2"/>
    <w:rsid w:val="00D669EE"/>
    <w:rsid w:val="00D74936"/>
    <w:rsid w:val="00D74979"/>
    <w:rsid w:val="00D75502"/>
    <w:rsid w:val="00D76297"/>
    <w:rsid w:val="00D80167"/>
    <w:rsid w:val="00D81EE3"/>
    <w:rsid w:val="00D824FD"/>
    <w:rsid w:val="00D83F2D"/>
    <w:rsid w:val="00D84A1D"/>
    <w:rsid w:val="00D909F5"/>
    <w:rsid w:val="00D9493C"/>
    <w:rsid w:val="00DA2F15"/>
    <w:rsid w:val="00DA6F35"/>
    <w:rsid w:val="00DB5C0D"/>
    <w:rsid w:val="00DC4400"/>
    <w:rsid w:val="00DC5BFE"/>
    <w:rsid w:val="00DC64C9"/>
    <w:rsid w:val="00DC7ED6"/>
    <w:rsid w:val="00DD0C4F"/>
    <w:rsid w:val="00DD75AD"/>
    <w:rsid w:val="00DE0371"/>
    <w:rsid w:val="00DE0663"/>
    <w:rsid w:val="00DE1C35"/>
    <w:rsid w:val="00DE2994"/>
    <w:rsid w:val="00DE2F76"/>
    <w:rsid w:val="00DE330B"/>
    <w:rsid w:val="00DE68A8"/>
    <w:rsid w:val="00DF3B1C"/>
    <w:rsid w:val="00DF517D"/>
    <w:rsid w:val="00E060E1"/>
    <w:rsid w:val="00E15A7D"/>
    <w:rsid w:val="00E21E96"/>
    <w:rsid w:val="00E21FF9"/>
    <w:rsid w:val="00E23CC5"/>
    <w:rsid w:val="00E31678"/>
    <w:rsid w:val="00E33AC8"/>
    <w:rsid w:val="00E3677A"/>
    <w:rsid w:val="00E37833"/>
    <w:rsid w:val="00E40075"/>
    <w:rsid w:val="00E46007"/>
    <w:rsid w:val="00E569FF"/>
    <w:rsid w:val="00E617C7"/>
    <w:rsid w:val="00E67681"/>
    <w:rsid w:val="00E72DF9"/>
    <w:rsid w:val="00E7342A"/>
    <w:rsid w:val="00E75561"/>
    <w:rsid w:val="00E75FB4"/>
    <w:rsid w:val="00E77266"/>
    <w:rsid w:val="00E808B8"/>
    <w:rsid w:val="00E85D86"/>
    <w:rsid w:val="00E86361"/>
    <w:rsid w:val="00E86F27"/>
    <w:rsid w:val="00E91B22"/>
    <w:rsid w:val="00E92F21"/>
    <w:rsid w:val="00E96767"/>
    <w:rsid w:val="00EA2A6F"/>
    <w:rsid w:val="00EB1521"/>
    <w:rsid w:val="00EB1943"/>
    <w:rsid w:val="00EB3A0A"/>
    <w:rsid w:val="00EC299D"/>
    <w:rsid w:val="00EC31F8"/>
    <w:rsid w:val="00EC37ED"/>
    <w:rsid w:val="00EC40B8"/>
    <w:rsid w:val="00ED33DC"/>
    <w:rsid w:val="00ED6741"/>
    <w:rsid w:val="00ED6D4C"/>
    <w:rsid w:val="00ED7753"/>
    <w:rsid w:val="00EE1326"/>
    <w:rsid w:val="00EE6517"/>
    <w:rsid w:val="00F009A7"/>
    <w:rsid w:val="00F02C21"/>
    <w:rsid w:val="00F02E46"/>
    <w:rsid w:val="00F058C0"/>
    <w:rsid w:val="00F1123C"/>
    <w:rsid w:val="00F15382"/>
    <w:rsid w:val="00F15CFE"/>
    <w:rsid w:val="00F2018A"/>
    <w:rsid w:val="00F359DD"/>
    <w:rsid w:val="00F4303F"/>
    <w:rsid w:val="00F4434E"/>
    <w:rsid w:val="00F47D99"/>
    <w:rsid w:val="00F50CE2"/>
    <w:rsid w:val="00F54357"/>
    <w:rsid w:val="00F54FCD"/>
    <w:rsid w:val="00F55816"/>
    <w:rsid w:val="00F5730D"/>
    <w:rsid w:val="00F57DCE"/>
    <w:rsid w:val="00F626FA"/>
    <w:rsid w:val="00F635E3"/>
    <w:rsid w:val="00F63965"/>
    <w:rsid w:val="00F71612"/>
    <w:rsid w:val="00F71932"/>
    <w:rsid w:val="00F71E13"/>
    <w:rsid w:val="00F729E7"/>
    <w:rsid w:val="00F75153"/>
    <w:rsid w:val="00F759B9"/>
    <w:rsid w:val="00F75FF1"/>
    <w:rsid w:val="00F816BA"/>
    <w:rsid w:val="00F8318B"/>
    <w:rsid w:val="00F84794"/>
    <w:rsid w:val="00F90F53"/>
    <w:rsid w:val="00F94CC3"/>
    <w:rsid w:val="00F97D0F"/>
    <w:rsid w:val="00FA526A"/>
    <w:rsid w:val="00FC3F60"/>
    <w:rsid w:val="00FD2509"/>
    <w:rsid w:val="00FD2D66"/>
    <w:rsid w:val="00FD7820"/>
    <w:rsid w:val="00FE0958"/>
    <w:rsid w:val="00FE3B94"/>
    <w:rsid w:val="00FE4E04"/>
    <w:rsid w:val="00FE79D7"/>
    <w:rsid w:val="00FF0169"/>
    <w:rsid w:val="00FF3203"/>
    <w:rsid w:val="00FF5B49"/>
    <w:rsid w:val="00FF6E1E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7CB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E67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0E67CB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semiHidden/>
    <w:rsid w:val="000E67CB"/>
    <w:rPr>
      <w:rFonts w:ascii="Tahoma" w:hAnsi="Tahoma"/>
      <w:sz w:val="16"/>
      <w:szCs w:val="16"/>
      <w:lang w:val="ru-RU"/>
    </w:rPr>
  </w:style>
  <w:style w:type="character" w:customStyle="1" w:styleId="a5">
    <w:name w:val="Текст выноски Знак"/>
    <w:link w:val="a4"/>
    <w:semiHidden/>
    <w:locked/>
    <w:rsid w:val="000E67CB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0E67CB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uiPriority w:val="99"/>
    <w:rsid w:val="00FC3F60"/>
    <w:pPr>
      <w:ind w:left="720"/>
    </w:pPr>
    <w:rPr>
      <w:rFonts w:eastAsia="Times New Roman"/>
    </w:rPr>
  </w:style>
  <w:style w:type="paragraph" w:styleId="a6">
    <w:name w:val="header"/>
    <w:basedOn w:val="a"/>
    <w:link w:val="a7"/>
    <w:uiPriority w:val="99"/>
    <w:rsid w:val="00A70E41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Верхний колонтитул Знак"/>
    <w:link w:val="a6"/>
    <w:uiPriority w:val="99"/>
    <w:locked/>
    <w:rsid w:val="00A70E4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A70E41"/>
    <w:pPr>
      <w:tabs>
        <w:tab w:val="center" w:pos="4819"/>
        <w:tab w:val="right" w:pos="9639"/>
      </w:tabs>
    </w:pPr>
    <w:rPr>
      <w:lang w:val="ru-RU"/>
    </w:rPr>
  </w:style>
  <w:style w:type="character" w:customStyle="1" w:styleId="a9">
    <w:name w:val="Нижний колонтитул Знак"/>
    <w:link w:val="a8"/>
    <w:locked/>
    <w:rsid w:val="00A70E41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 Paragraph"/>
    <w:basedOn w:val="a"/>
    <w:rsid w:val="00E21FF9"/>
    <w:pPr>
      <w:ind w:left="720"/>
    </w:pPr>
  </w:style>
  <w:style w:type="character" w:styleId="aa">
    <w:name w:val="annotation reference"/>
    <w:semiHidden/>
    <w:rsid w:val="000444D6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4D6"/>
    <w:rPr>
      <w:sz w:val="20"/>
      <w:szCs w:val="20"/>
      <w:lang w:val="ru-RU"/>
    </w:rPr>
  </w:style>
  <w:style w:type="character" w:customStyle="1" w:styleId="ac">
    <w:name w:val="Текст примечания Знак"/>
    <w:link w:val="ab"/>
    <w:semiHidden/>
    <w:locked/>
    <w:rsid w:val="000444D6"/>
    <w:rPr>
      <w:rFonts w:ascii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semiHidden/>
    <w:rsid w:val="000444D6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4D6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styleId="af">
    <w:name w:val="page number"/>
    <w:basedOn w:val="a0"/>
    <w:rsid w:val="000339FF"/>
  </w:style>
  <w:style w:type="character" w:styleId="af0">
    <w:name w:val="Hyperlink"/>
    <w:rsid w:val="003677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7CB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E67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0E67CB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semiHidden/>
    <w:rsid w:val="000E67CB"/>
    <w:rPr>
      <w:rFonts w:ascii="Tahoma" w:hAnsi="Tahoma"/>
      <w:sz w:val="16"/>
      <w:szCs w:val="16"/>
      <w:lang w:val="ru-RU"/>
    </w:rPr>
  </w:style>
  <w:style w:type="character" w:customStyle="1" w:styleId="a5">
    <w:name w:val="Текст выноски Знак"/>
    <w:link w:val="a4"/>
    <w:semiHidden/>
    <w:locked/>
    <w:rsid w:val="000E67CB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0E67CB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uiPriority w:val="99"/>
    <w:rsid w:val="00FC3F60"/>
    <w:pPr>
      <w:ind w:left="720"/>
    </w:pPr>
    <w:rPr>
      <w:rFonts w:eastAsia="Times New Roman"/>
    </w:rPr>
  </w:style>
  <w:style w:type="paragraph" w:styleId="a6">
    <w:name w:val="header"/>
    <w:basedOn w:val="a"/>
    <w:link w:val="a7"/>
    <w:uiPriority w:val="99"/>
    <w:rsid w:val="00A70E41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Верхний колонтитул Знак"/>
    <w:link w:val="a6"/>
    <w:uiPriority w:val="99"/>
    <w:locked/>
    <w:rsid w:val="00A70E4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A70E41"/>
    <w:pPr>
      <w:tabs>
        <w:tab w:val="center" w:pos="4819"/>
        <w:tab w:val="right" w:pos="9639"/>
      </w:tabs>
    </w:pPr>
    <w:rPr>
      <w:lang w:val="ru-RU"/>
    </w:rPr>
  </w:style>
  <w:style w:type="character" w:customStyle="1" w:styleId="a9">
    <w:name w:val="Нижний колонтитул Знак"/>
    <w:link w:val="a8"/>
    <w:locked/>
    <w:rsid w:val="00A70E41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 Paragraph"/>
    <w:basedOn w:val="a"/>
    <w:rsid w:val="00E21FF9"/>
    <w:pPr>
      <w:ind w:left="720"/>
    </w:pPr>
  </w:style>
  <w:style w:type="character" w:styleId="aa">
    <w:name w:val="annotation reference"/>
    <w:semiHidden/>
    <w:rsid w:val="000444D6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4D6"/>
    <w:rPr>
      <w:sz w:val="20"/>
      <w:szCs w:val="20"/>
      <w:lang w:val="ru-RU"/>
    </w:rPr>
  </w:style>
  <w:style w:type="character" w:customStyle="1" w:styleId="ac">
    <w:name w:val="Текст примечания Знак"/>
    <w:link w:val="ab"/>
    <w:semiHidden/>
    <w:locked/>
    <w:rsid w:val="000444D6"/>
    <w:rPr>
      <w:rFonts w:ascii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semiHidden/>
    <w:rsid w:val="000444D6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4D6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styleId="af">
    <w:name w:val="page number"/>
    <w:basedOn w:val="a0"/>
    <w:rsid w:val="000339FF"/>
  </w:style>
  <w:style w:type="character" w:styleId="af0">
    <w:name w:val="Hyperlink"/>
    <w:rsid w:val="00367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groexpo.in.ua/agrocatalog/,%20&#107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8D185-4531-4F36-A5DE-DF28E175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18248</CharactersWithSpaces>
  <SharedDoc>false</SharedDoc>
  <HLinks>
    <vt:vector size="6" baseType="variant">
      <vt:variant>
        <vt:i4>6225939</vt:i4>
      </vt:variant>
      <vt:variant>
        <vt:i4>0</vt:i4>
      </vt:variant>
      <vt:variant>
        <vt:i4>0</vt:i4>
      </vt:variant>
      <vt:variant>
        <vt:i4>5</vt:i4>
      </vt:variant>
      <vt:variant>
        <vt:lpwstr>http://agroexpo.in.ua/agrocatalog/, 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Тітенко Вікторія Ігорівна</cp:lastModifiedBy>
  <cp:revision>2</cp:revision>
  <cp:lastPrinted>2020-08-17T10:40:00Z</cp:lastPrinted>
  <dcterms:created xsi:type="dcterms:W3CDTF">2020-08-21T08:04:00Z</dcterms:created>
  <dcterms:modified xsi:type="dcterms:W3CDTF">2020-08-21T08:04:00Z</dcterms:modified>
</cp:coreProperties>
</file>