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0A5112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3E1490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06 серпня</w:t>
      </w:r>
      <w:r w:rsidR="006854FF">
        <w:rPr>
          <w:lang w:val="uk-UA" w:eastAsia="uk-UA"/>
        </w:rPr>
        <w:t xml:space="preserve"> 2020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FB2BC9">
        <w:rPr>
          <w:lang w:val="uk-UA" w:eastAsia="uk-UA"/>
        </w:rPr>
        <w:t xml:space="preserve"> 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    </w:t>
      </w:r>
      <w:r w:rsidR="00AA4720">
        <w:rPr>
          <w:lang w:val="uk-UA" w:eastAsia="uk-UA"/>
        </w:rPr>
        <w:t xml:space="preserve">   </w:t>
      </w:r>
      <w:r w:rsidR="006E6E1C">
        <w:rPr>
          <w:lang w:val="uk-UA" w:eastAsia="uk-UA"/>
        </w:rPr>
        <w:t xml:space="preserve">  </w:t>
      </w:r>
      <w:r w:rsidR="008E3CEA" w:rsidRPr="008E3CEA">
        <w:rPr>
          <w:lang w:val="uk-UA" w:eastAsia="uk-UA"/>
        </w:rPr>
        <w:t xml:space="preserve"> </w:t>
      </w:r>
      <w:r w:rsidR="008D653D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>№</w:t>
      </w:r>
      <w:r w:rsidR="00AA4720">
        <w:rPr>
          <w:lang w:val="uk-UA" w:eastAsia="uk-UA"/>
        </w:rPr>
        <w:t xml:space="preserve"> </w:t>
      </w:r>
      <w:r w:rsidR="002B0DB1">
        <w:rPr>
          <w:lang w:val="uk-UA" w:eastAsia="uk-UA"/>
        </w:rPr>
        <w:t>476</w:t>
      </w:r>
      <w:r>
        <w:rPr>
          <w:lang w:val="uk-UA" w:eastAsia="uk-UA"/>
        </w:rPr>
        <w:t>-</w:t>
      </w:r>
      <w:r w:rsidR="00C30C37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</w:t>
      </w:r>
    </w:p>
    <w:p w:rsidR="00E9033D" w:rsidRDefault="00E9033D">
      <w:pPr>
        <w:rPr>
          <w:lang w:val="uk-UA"/>
        </w:rPr>
      </w:pPr>
    </w:p>
    <w:p w:rsidR="003073C6" w:rsidRDefault="003073C6">
      <w:pPr>
        <w:rPr>
          <w:lang w:val="uk-UA"/>
        </w:rPr>
      </w:pPr>
    </w:p>
    <w:p w:rsidR="00EC2F5B" w:rsidRDefault="00EC2F5B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Pr="00BC0F9B" w:rsidRDefault="004C56B9" w:rsidP="00077C15">
      <w:pPr>
        <w:ind w:left="93" w:firstLine="616"/>
        <w:jc w:val="both"/>
        <w:rPr>
          <w:lang w:val="uk-UA"/>
        </w:rPr>
      </w:pPr>
      <w:r w:rsidRPr="00AE6B92">
        <w:rPr>
          <w:lang w:val="uk-UA"/>
        </w:rPr>
        <w:t>Антимонопольний комітет України, розглянувши заяву</w:t>
      </w:r>
      <w:r w:rsidR="00AC6799" w:rsidRPr="00AE6B92">
        <w:rPr>
          <w:lang w:val="uk-UA"/>
        </w:rPr>
        <w:t xml:space="preserve"> уповноваженого представника </w:t>
      </w:r>
      <w:r w:rsidR="006854FF" w:rsidRPr="006854FF">
        <w:rPr>
          <w:lang w:val="uk-UA"/>
        </w:rPr>
        <w:t xml:space="preserve">учасників узгоджених дій </w:t>
      </w:r>
      <w:r w:rsidR="00077C15" w:rsidRPr="00077C15">
        <w:rPr>
          <w:spacing w:val="-2"/>
          <w:lang w:val="uk-UA"/>
        </w:rPr>
        <w:t>про надання дозволу на узгоджені дії у вигляді дотримання положень щодо утримання</w:t>
      </w:r>
      <w:r w:rsidR="003E1490">
        <w:rPr>
          <w:spacing w:val="-2"/>
          <w:lang w:val="uk-UA"/>
        </w:rPr>
        <w:t xml:space="preserve"> від конкуренції, що містяться в р</w:t>
      </w:r>
      <w:r w:rsidR="00077C15" w:rsidRPr="00077C15">
        <w:rPr>
          <w:spacing w:val="-2"/>
          <w:lang w:val="uk-UA"/>
        </w:rPr>
        <w:t>озділі 5.6 Договору про розділення та розподіл, укладеного 15 грудня 2019 року між компаніями  «</w:t>
      </w:r>
      <w:r w:rsidR="00077C15" w:rsidRPr="000D0BCB">
        <w:rPr>
          <w:spacing w:val="-2"/>
        </w:rPr>
        <w:t>Nutrition</w:t>
      </w:r>
      <w:r w:rsidR="00077C15" w:rsidRPr="00077C15">
        <w:rPr>
          <w:spacing w:val="-2"/>
          <w:lang w:val="uk-UA"/>
        </w:rPr>
        <w:t xml:space="preserve"> &amp; </w:t>
      </w:r>
      <w:r w:rsidR="00077C15" w:rsidRPr="000D0BCB">
        <w:rPr>
          <w:spacing w:val="-2"/>
        </w:rPr>
        <w:t>Biosciences</w:t>
      </w:r>
      <w:r w:rsidR="00077C15" w:rsidRPr="00077C15">
        <w:rPr>
          <w:spacing w:val="-2"/>
          <w:lang w:val="uk-UA"/>
        </w:rPr>
        <w:t xml:space="preserve">, </w:t>
      </w:r>
      <w:r w:rsidR="00077C15" w:rsidRPr="000D0BCB">
        <w:rPr>
          <w:spacing w:val="-2"/>
        </w:rPr>
        <w:t>Inc</w:t>
      </w:r>
      <w:r w:rsidR="00077C15" w:rsidRPr="00077C15">
        <w:rPr>
          <w:spacing w:val="-2"/>
          <w:lang w:val="uk-UA"/>
        </w:rPr>
        <w:t>.» (м. Вілмінгтон, штат Делавер, США) (далі – компанія «</w:t>
      </w:r>
      <w:r w:rsidR="00077C15" w:rsidRPr="000D0BCB">
        <w:rPr>
          <w:spacing w:val="-2"/>
        </w:rPr>
        <w:t>SpinCo</w:t>
      </w:r>
      <w:r w:rsidR="00077C15" w:rsidRPr="00077C15">
        <w:rPr>
          <w:spacing w:val="-2"/>
          <w:lang w:val="uk-UA"/>
        </w:rPr>
        <w:t>»), «</w:t>
      </w:r>
      <w:r w:rsidR="00077C15" w:rsidRPr="000D0BCB">
        <w:rPr>
          <w:spacing w:val="-2"/>
        </w:rPr>
        <w:t>DuPont</w:t>
      </w:r>
      <w:r w:rsidR="00077C15" w:rsidRPr="00077C15">
        <w:rPr>
          <w:spacing w:val="-2"/>
          <w:lang w:val="uk-UA"/>
        </w:rPr>
        <w:t xml:space="preserve"> </w:t>
      </w:r>
      <w:r w:rsidR="00077C15" w:rsidRPr="000D0BCB">
        <w:rPr>
          <w:spacing w:val="-2"/>
        </w:rPr>
        <w:t>de</w:t>
      </w:r>
      <w:r w:rsidR="00077C15" w:rsidRPr="00077C15">
        <w:rPr>
          <w:spacing w:val="-2"/>
          <w:lang w:val="uk-UA"/>
        </w:rPr>
        <w:t xml:space="preserve"> </w:t>
      </w:r>
      <w:r w:rsidR="00077C15" w:rsidRPr="000D0BCB">
        <w:rPr>
          <w:spacing w:val="-2"/>
        </w:rPr>
        <w:t>Nemours</w:t>
      </w:r>
      <w:r w:rsidR="00077C15" w:rsidRPr="00077C15">
        <w:rPr>
          <w:spacing w:val="-2"/>
          <w:lang w:val="uk-UA"/>
        </w:rPr>
        <w:t xml:space="preserve">, </w:t>
      </w:r>
      <w:r w:rsidR="00077C15" w:rsidRPr="000D0BCB">
        <w:rPr>
          <w:spacing w:val="-2"/>
        </w:rPr>
        <w:t>Inc</w:t>
      </w:r>
      <w:r w:rsidR="00077C15" w:rsidRPr="00077C15">
        <w:rPr>
          <w:spacing w:val="-2"/>
          <w:lang w:val="uk-UA"/>
        </w:rPr>
        <w:t>.» (м. Вілмінгтон, штат Делавер, США) (далі – компанія «</w:t>
      </w:r>
      <w:r w:rsidR="00077C15" w:rsidRPr="000D0BCB">
        <w:rPr>
          <w:spacing w:val="-2"/>
        </w:rPr>
        <w:t>DuPont</w:t>
      </w:r>
      <w:r w:rsidR="00077C15" w:rsidRPr="00077C15">
        <w:rPr>
          <w:spacing w:val="-2"/>
          <w:lang w:val="uk-UA"/>
        </w:rPr>
        <w:t>») та «</w:t>
      </w:r>
      <w:r w:rsidR="00077C15" w:rsidRPr="000D0BCB">
        <w:rPr>
          <w:spacing w:val="-2"/>
        </w:rPr>
        <w:t>International</w:t>
      </w:r>
      <w:r w:rsidR="00077C15" w:rsidRPr="00077C15">
        <w:rPr>
          <w:spacing w:val="-2"/>
          <w:lang w:val="uk-UA"/>
        </w:rPr>
        <w:t xml:space="preserve"> </w:t>
      </w:r>
      <w:r w:rsidR="00077C15" w:rsidRPr="000D0BCB">
        <w:rPr>
          <w:spacing w:val="-2"/>
        </w:rPr>
        <w:t>Flavors</w:t>
      </w:r>
      <w:r w:rsidR="00077C15" w:rsidRPr="00077C15">
        <w:rPr>
          <w:spacing w:val="-2"/>
          <w:lang w:val="uk-UA"/>
        </w:rPr>
        <w:t xml:space="preserve"> &amp; </w:t>
      </w:r>
      <w:r w:rsidR="00077C15" w:rsidRPr="000D0BCB">
        <w:rPr>
          <w:spacing w:val="-2"/>
        </w:rPr>
        <w:t>Fragrances</w:t>
      </w:r>
      <w:r w:rsidR="00077C15" w:rsidRPr="00077C15">
        <w:rPr>
          <w:spacing w:val="-2"/>
          <w:lang w:val="uk-UA"/>
        </w:rPr>
        <w:t xml:space="preserve"> </w:t>
      </w:r>
      <w:r w:rsidR="00077C15" w:rsidRPr="000D0BCB">
        <w:rPr>
          <w:spacing w:val="-2"/>
        </w:rPr>
        <w:t>Inc</w:t>
      </w:r>
      <w:r w:rsidR="00077C15" w:rsidRPr="00077C15">
        <w:rPr>
          <w:spacing w:val="-2"/>
          <w:lang w:val="uk-UA"/>
        </w:rPr>
        <w:t>.» (м. Нью-Йорк, штат Нью-Йорк, США) (далі –  компанія «</w:t>
      </w:r>
      <w:r w:rsidR="00077C15" w:rsidRPr="000D0BCB">
        <w:rPr>
          <w:spacing w:val="-2"/>
        </w:rPr>
        <w:t>IFF</w:t>
      </w:r>
      <w:r w:rsidR="00077C15" w:rsidRPr="00077C15">
        <w:rPr>
          <w:spacing w:val="-2"/>
          <w:lang w:val="uk-UA"/>
        </w:rPr>
        <w:t xml:space="preserve">») </w:t>
      </w:r>
      <w:r w:rsidR="00077C15" w:rsidRPr="00077C15">
        <w:rPr>
          <w:lang w:val="uk-UA"/>
        </w:rPr>
        <w:t xml:space="preserve">(далі – «Договір про розділення та розподіл») </w:t>
      </w:r>
      <w:r w:rsidR="00077C15" w:rsidRPr="00077C15">
        <w:rPr>
          <w:spacing w:val="-2"/>
          <w:lang w:val="uk-UA"/>
        </w:rPr>
        <w:t xml:space="preserve">та про заборону переманювання працівників, що містяться </w:t>
      </w:r>
      <w:r w:rsidR="003E1490">
        <w:rPr>
          <w:spacing w:val="-2"/>
          <w:lang w:val="uk-UA"/>
        </w:rPr>
        <w:t>в р</w:t>
      </w:r>
      <w:r w:rsidR="00077C15" w:rsidRPr="00077C15">
        <w:rPr>
          <w:spacing w:val="-2"/>
          <w:lang w:val="uk-UA"/>
        </w:rPr>
        <w:t>озділі 1.13 Договору про трудові відносини, укладеного 15 грудня 2019 року між компаніями  «</w:t>
      </w:r>
      <w:r w:rsidR="00077C15" w:rsidRPr="000D0BCB">
        <w:rPr>
          <w:spacing w:val="-2"/>
        </w:rPr>
        <w:t>SpinCo</w:t>
      </w:r>
      <w:r w:rsidR="00077C15" w:rsidRPr="00077C15">
        <w:rPr>
          <w:spacing w:val="-2"/>
          <w:lang w:val="uk-UA"/>
        </w:rPr>
        <w:t>», «</w:t>
      </w:r>
      <w:r w:rsidR="00077C15" w:rsidRPr="000D0BCB">
        <w:rPr>
          <w:spacing w:val="-2"/>
        </w:rPr>
        <w:t>DuPont</w:t>
      </w:r>
      <w:r w:rsidR="00077C15" w:rsidRPr="00077C15">
        <w:rPr>
          <w:spacing w:val="-2"/>
          <w:lang w:val="uk-UA"/>
        </w:rPr>
        <w:t>» і «</w:t>
      </w:r>
      <w:r w:rsidR="00077C15" w:rsidRPr="000D0BCB">
        <w:rPr>
          <w:spacing w:val="-2"/>
        </w:rPr>
        <w:t>IFF</w:t>
      </w:r>
      <w:r w:rsidR="00077C15" w:rsidRPr="00077C15">
        <w:rPr>
          <w:spacing w:val="-2"/>
          <w:lang w:val="uk-UA"/>
        </w:rPr>
        <w:t>»</w:t>
      </w:r>
      <w:r w:rsidR="00077C15" w:rsidRPr="00077C15">
        <w:rPr>
          <w:lang w:val="uk-UA"/>
        </w:rPr>
        <w:t xml:space="preserve"> (далі – «Договір про трудові відносини»), строком на п’ять років</w:t>
      </w:r>
      <w:r w:rsidR="008D653D" w:rsidRPr="00BC0F9B">
        <w:rPr>
          <w:lang w:val="uk-UA"/>
        </w:rPr>
        <w:t>,</w:t>
      </w:r>
    </w:p>
    <w:p w:rsidR="0083126B" w:rsidRPr="00BC0F9B" w:rsidRDefault="0083126B" w:rsidP="00BC0F9B">
      <w:pPr>
        <w:overflowPunct w:val="0"/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077C15" w:rsidRDefault="00077C15" w:rsidP="00077C15">
      <w:pPr>
        <w:ind w:firstLine="709"/>
        <w:jc w:val="both"/>
      </w:pPr>
      <w:r w:rsidRPr="00077C15">
        <w:rPr>
          <w:lang w:val="uk-UA"/>
        </w:rPr>
        <w:t>Узгоджені дії відбудуть</w:t>
      </w:r>
      <w:r w:rsidR="003E1490">
        <w:rPr>
          <w:lang w:val="uk-UA"/>
        </w:rPr>
        <w:t>ся в результаті здійснення транс</w:t>
      </w:r>
      <w:r w:rsidRPr="00077C15">
        <w:rPr>
          <w:lang w:val="uk-UA"/>
        </w:rPr>
        <w:t xml:space="preserve">акції, метою якої є набуття компанією </w:t>
      </w:r>
      <w:r>
        <w:t>«</w:t>
      </w:r>
      <w:r>
        <w:rPr>
          <w:lang w:val="en-US"/>
        </w:rPr>
        <w:t>IFF</w:t>
      </w:r>
      <w:r>
        <w:t>»</w:t>
      </w:r>
      <w:r w:rsidRPr="008972DC">
        <w:t xml:space="preserve">  </w:t>
      </w:r>
      <w:r w:rsidRPr="001E3364">
        <w:t>[</w:t>
      </w:r>
      <w:r>
        <w:t xml:space="preserve">опосередковано через </w:t>
      </w:r>
      <w:r w:rsidRPr="004A36E4">
        <w:t>компанію «Neptune Merger Sub I Inc.» (штат Делавер, США)</w:t>
      </w:r>
      <w:r w:rsidRPr="001E3364">
        <w:t>]</w:t>
      </w:r>
      <w:r>
        <w:t xml:space="preserve"> </w:t>
      </w:r>
      <w:r w:rsidRPr="00210E12">
        <w:t xml:space="preserve">контролю над компанією </w:t>
      </w:r>
      <w:r>
        <w:t>«SpinCo».</w:t>
      </w:r>
    </w:p>
    <w:p w:rsidR="006854FF" w:rsidRDefault="006854FF" w:rsidP="006854FF">
      <w:pPr>
        <w:ind w:firstLine="709"/>
        <w:jc w:val="both"/>
      </w:pPr>
    </w:p>
    <w:p w:rsidR="00077C15" w:rsidRPr="00077C15" w:rsidRDefault="006854FF" w:rsidP="00077C15">
      <w:pPr>
        <w:ind w:firstLine="709"/>
        <w:jc w:val="both"/>
      </w:pPr>
      <w:r w:rsidRPr="000223CC">
        <w:t>Учасниками узгоджених дій виступають</w:t>
      </w:r>
      <w:r w:rsidRPr="00077C15">
        <w:t xml:space="preserve"> </w:t>
      </w:r>
      <w:r w:rsidRPr="00C8286C">
        <w:t>компан</w:t>
      </w:r>
      <w:r w:rsidR="00077C15" w:rsidRPr="00077C15">
        <w:t>ії «SpinCo», «DuPont»</w:t>
      </w:r>
      <w:r w:rsidR="00077C15">
        <w:rPr>
          <w:lang w:val="uk-UA"/>
        </w:rPr>
        <w:t xml:space="preserve"> і</w:t>
      </w:r>
      <w:r w:rsidR="00077C15" w:rsidRPr="00077C15">
        <w:t xml:space="preserve"> «IFF».</w:t>
      </w:r>
    </w:p>
    <w:p w:rsidR="006854FF" w:rsidRPr="006854FF" w:rsidRDefault="006854FF" w:rsidP="006854FF">
      <w:pPr>
        <w:spacing w:line="276" w:lineRule="auto"/>
        <w:ind w:firstLine="851"/>
        <w:jc w:val="both"/>
        <w:rPr>
          <w:b/>
          <w:lang w:val="uk-UA"/>
        </w:rPr>
      </w:pPr>
    </w:p>
    <w:p w:rsidR="006854FF" w:rsidRPr="00077C15" w:rsidRDefault="006854FF" w:rsidP="006854FF">
      <w:pPr>
        <w:ind w:firstLine="709"/>
        <w:jc w:val="both"/>
        <w:rPr>
          <w:lang w:val="uk-UA"/>
        </w:rPr>
      </w:pPr>
      <w:r w:rsidRPr="00077C15">
        <w:rPr>
          <w:lang w:val="uk-UA"/>
        </w:rPr>
        <w:t>За інформацією заявників:</w:t>
      </w:r>
    </w:p>
    <w:p w:rsidR="00077C15" w:rsidRPr="00077C15" w:rsidRDefault="003E1490" w:rsidP="00077C15">
      <w:pPr>
        <w:ind w:firstLine="709"/>
        <w:jc w:val="both"/>
        <w:rPr>
          <w:rFonts w:cs="Arial"/>
          <w:lang w:val="uk-UA"/>
        </w:rPr>
      </w:pPr>
      <w:r>
        <w:rPr>
          <w:lang w:val="uk-UA"/>
        </w:rPr>
        <w:t>в</w:t>
      </w:r>
      <w:r w:rsidR="00077C15" w:rsidRPr="00077C15">
        <w:rPr>
          <w:lang w:val="uk-UA"/>
        </w:rPr>
        <w:t>ідповідно</w:t>
      </w:r>
      <w:r w:rsidR="00077C15" w:rsidRPr="00077C15">
        <w:rPr>
          <w:rFonts w:cs="Arial"/>
          <w:lang w:val="uk-UA"/>
        </w:rPr>
        <w:t xml:space="preserve"> до </w:t>
      </w:r>
      <w:r>
        <w:rPr>
          <w:rFonts w:cs="Arial"/>
          <w:lang w:val="uk-UA"/>
        </w:rPr>
        <w:t>р</w:t>
      </w:r>
      <w:r w:rsidR="00077C15" w:rsidRPr="00077C15">
        <w:rPr>
          <w:rFonts w:cs="Arial"/>
          <w:lang w:val="uk-UA"/>
        </w:rPr>
        <w:t xml:space="preserve">озділу 5.6 Договору про розділення та розподіл, </w:t>
      </w:r>
      <w:r>
        <w:rPr>
          <w:rFonts w:cs="Arial"/>
          <w:lang w:val="uk-UA"/>
        </w:rPr>
        <w:t>«</w:t>
      </w:r>
      <w:r w:rsidR="00077C15" w:rsidRPr="00077C15">
        <w:rPr>
          <w:rFonts w:cs="Arial"/>
          <w:lang w:val="uk-UA"/>
        </w:rPr>
        <w:t>протягом трьох років з Дати розподілу акцій компанії «</w:t>
      </w:r>
      <w:r w:rsidR="00077C15" w:rsidRPr="008137C9">
        <w:rPr>
          <w:rFonts w:cs="Arial"/>
          <w:lang w:val="en-GB"/>
        </w:rPr>
        <w:t>SpinCo</w:t>
      </w:r>
      <w:r w:rsidR="00077C15" w:rsidRPr="00077C15">
        <w:rPr>
          <w:rFonts w:cs="Arial"/>
          <w:lang w:val="uk-UA"/>
        </w:rPr>
        <w:t>» (далі – Період утримання від конкуренції щодо Біо-Пропандіолу), жодна з компаній «</w:t>
      </w:r>
      <w:r w:rsidR="00077C15" w:rsidRPr="008137C9">
        <w:rPr>
          <w:rFonts w:cs="Arial"/>
        </w:rPr>
        <w:t>IFF</w:t>
      </w:r>
      <w:r w:rsidR="00077C15" w:rsidRPr="00077C15">
        <w:rPr>
          <w:rFonts w:cs="Arial"/>
          <w:lang w:val="uk-UA"/>
        </w:rPr>
        <w:t>», «</w:t>
      </w:r>
      <w:r w:rsidR="00077C15" w:rsidRPr="008137C9">
        <w:rPr>
          <w:rFonts w:cs="Arial"/>
        </w:rPr>
        <w:t>SpinCo</w:t>
      </w:r>
      <w:r w:rsidR="00077C15" w:rsidRPr="00077C15">
        <w:rPr>
          <w:rFonts w:cs="Arial"/>
          <w:lang w:val="uk-UA"/>
        </w:rPr>
        <w:t xml:space="preserve">» або їх афілійованих осіб не повинна прямо чи опосередковано володіти, управляти, або здійснювати діяльність або бути залученою до (у тому числі шляхом ліцензування або надання прав або участі в аналогічній угоді з іншою Особою, або шляхом примусу або направлення будь-якої Особи до володіння, управління, або здійснення діяльності або залучення до) бізнесу щодо дослідження, розробки, виробництва, продажу, маркетингу, комерціалізації або іншого використання </w:t>
      </w:r>
      <w:r w:rsidR="00077C15" w:rsidRPr="00077C15">
        <w:rPr>
          <w:lang w:val="uk-UA"/>
        </w:rPr>
        <w:t>1,3-пропандіола (далі – Пропандіол)</w:t>
      </w:r>
      <w:r w:rsidR="00077C15" w:rsidRPr="00077C15">
        <w:rPr>
          <w:rFonts w:cs="Arial"/>
          <w:lang w:val="uk-UA"/>
        </w:rPr>
        <w:t xml:space="preserve">, отриманого в результаті біологічних процесів (або біологічних матеріалів, використовуваних для створення таких же процесів) в будь-якій точці світу, або володіти будь-якою часткою власності в будь-якій Особі, яка залучена до чи здійснює ліцензування, або іншим чином надає будь-які права або сприяє будь-якій Особі бути залученою до або вести такий бізнес (далі – Заборонена діяльність </w:t>
      </w:r>
      <w:r w:rsidR="00077C15" w:rsidRPr="00B565CB">
        <w:rPr>
          <w:rFonts w:cs="Arial"/>
        </w:rPr>
        <w:t>SpinCo</w:t>
      </w:r>
      <w:r w:rsidR="00077C15" w:rsidRPr="00077C15">
        <w:rPr>
          <w:rFonts w:cs="Arial"/>
          <w:lang w:val="uk-UA"/>
        </w:rPr>
        <w:t>). Незважаючи на вищесказане, ніщо в цьому документі не перешкоджає (</w:t>
      </w:r>
      <w:r w:rsidR="00077C15" w:rsidRPr="008137C9">
        <w:rPr>
          <w:rFonts w:cs="Arial"/>
        </w:rPr>
        <w:t>i</w:t>
      </w:r>
      <w:r w:rsidR="00077C15" w:rsidRPr="00077C15">
        <w:rPr>
          <w:rFonts w:cs="Arial"/>
          <w:lang w:val="uk-UA"/>
        </w:rPr>
        <w:t>) компанії «</w:t>
      </w:r>
      <w:r w:rsidR="00077C15" w:rsidRPr="008137C9">
        <w:rPr>
          <w:rFonts w:cs="Arial"/>
        </w:rPr>
        <w:t>SpinCo</w:t>
      </w:r>
      <w:r w:rsidR="00077C15" w:rsidRPr="00077C15">
        <w:rPr>
          <w:rFonts w:cs="Arial"/>
          <w:lang w:val="uk-UA"/>
        </w:rPr>
        <w:t>» виробляти, мати вироблений, продавати або ліцензувати виробництво або допомагати третім особам у виробництві Пропандіолу, виробленого з джерел, відмінних від біологічних, або (</w:t>
      </w:r>
      <w:r w:rsidR="00077C15" w:rsidRPr="008137C9">
        <w:rPr>
          <w:rFonts w:cs="Arial"/>
        </w:rPr>
        <w:t>ii</w:t>
      </w:r>
      <w:r w:rsidR="00077C15" w:rsidRPr="00077C15">
        <w:rPr>
          <w:rFonts w:cs="Arial"/>
          <w:lang w:val="uk-UA"/>
        </w:rPr>
        <w:t xml:space="preserve">) </w:t>
      </w:r>
      <w:r w:rsidR="00077C15" w:rsidRPr="00077C15">
        <w:rPr>
          <w:rFonts w:cs="Arial"/>
          <w:lang w:val="uk-UA"/>
        </w:rPr>
        <w:lastRenderedPageBreak/>
        <w:t>компанії «</w:t>
      </w:r>
      <w:r w:rsidR="00077C15" w:rsidRPr="008137C9">
        <w:rPr>
          <w:rFonts w:cs="Arial"/>
        </w:rPr>
        <w:t>IFF</w:t>
      </w:r>
      <w:r w:rsidR="00077C15" w:rsidRPr="00077C15">
        <w:rPr>
          <w:rFonts w:cs="Arial"/>
          <w:lang w:val="uk-UA"/>
        </w:rPr>
        <w:t xml:space="preserve">» видавати ліцензію своєї інтелектуальної власності та інтелектуальної власності своїх Дочірніх компаній, якщо така ліцензія не була видана для цілей надання прав на будь-яку Заборонену діяльність </w:t>
      </w:r>
      <w:r w:rsidR="00077C15" w:rsidRPr="008137C9">
        <w:rPr>
          <w:rFonts w:cs="Arial"/>
        </w:rPr>
        <w:t>Spinco</w:t>
      </w:r>
      <w:r>
        <w:rPr>
          <w:rFonts w:cs="Arial"/>
          <w:lang w:val="uk-UA"/>
        </w:rPr>
        <w:t>»</w:t>
      </w:r>
      <w:r w:rsidR="00077C15" w:rsidRPr="00077C15">
        <w:rPr>
          <w:rFonts w:cs="Arial"/>
          <w:lang w:val="uk-UA"/>
        </w:rPr>
        <w:t>.</w:t>
      </w:r>
    </w:p>
    <w:p w:rsidR="00077C15" w:rsidRPr="00077C15" w:rsidRDefault="00077C15" w:rsidP="00077C15">
      <w:pPr>
        <w:ind w:right="68"/>
        <w:jc w:val="both"/>
        <w:rPr>
          <w:rFonts w:cs="Arial"/>
          <w:lang w:val="uk-UA"/>
        </w:rPr>
      </w:pPr>
    </w:p>
    <w:p w:rsidR="00077C15" w:rsidRPr="00077C15" w:rsidRDefault="00077C15" w:rsidP="00077C15">
      <w:pPr>
        <w:ind w:firstLine="709"/>
        <w:jc w:val="both"/>
        <w:rPr>
          <w:rFonts w:cs="Arial"/>
          <w:lang w:val="uk-UA"/>
        </w:rPr>
      </w:pPr>
      <w:r w:rsidRPr="00077C15">
        <w:rPr>
          <w:rFonts w:cs="Arial"/>
          <w:lang w:val="uk-UA"/>
        </w:rPr>
        <w:t xml:space="preserve">Відповідно до </w:t>
      </w:r>
      <w:r w:rsidR="003E1490">
        <w:rPr>
          <w:rFonts w:cs="Arial"/>
          <w:lang w:val="uk-UA"/>
        </w:rPr>
        <w:t>р</w:t>
      </w:r>
      <w:r w:rsidRPr="00077C15">
        <w:rPr>
          <w:rFonts w:cs="Arial"/>
          <w:lang w:val="uk-UA"/>
        </w:rPr>
        <w:t xml:space="preserve">озділу 1.13 Договору про трудові відносини, </w:t>
      </w:r>
      <w:r w:rsidR="003E1490">
        <w:rPr>
          <w:rFonts w:cs="Arial"/>
          <w:lang w:val="uk-UA"/>
        </w:rPr>
        <w:t>«</w:t>
      </w:r>
      <w:r w:rsidRPr="00077C15">
        <w:rPr>
          <w:rFonts w:cs="Arial"/>
          <w:lang w:val="uk-UA"/>
        </w:rPr>
        <w:t>компанія «</w:t>
      </w:r>
      <w:r w:rsidRPr="008137C9">
        <w:rPr>
          <w:rFonts w:cs="Arial"/>
          <w:lang w:val="en-GB"/>
        </w:rPr>
        <w:t>DuPont</w:t>
      </w:r>
      <w:r w:rsidRPr="00077C15">
        <w:rPr>
          <w:rFonts w:cs="Arial"/>
          <w:lang w:val="uk-UA"/>
        </w:rPr>
        <w:t xml:space="preserve">» погоджується, що протягом двадцяти чотирьох місяців після Дати розподілу акцій </w:t>
      </w:r>
      <w:r w:rsidRPr="008137C9">
        <w:rPr>
          <w:rFonts w:cs="Arial"/>
          <w:lang w:val="en-GB"/>
        </w:rPr>
        <w:t>SpinCo</w:t>
      </w:r>
      <w:r w:rsidRPr="00077C15">
        <w:rPr>
          <w:rFonts w:cs="Arial"/>
          <w:lang w:val="uk-UA"/>
        </w:rPr>
        <w:t xml:space="preserve"> (далі – Період заборони переманювання працівників), вона та жоден член Групи </w:t>
      </w:r>
      <w:r w:rsidRPr="008137C9">
        <w:rPr>
          <w:rFonts w:cs="Arial"/>
          <w:lang w:val="en-GB"/>
        </w:rPr>
        <w:t>DuPont</w:t>
      </w:r>
      <w:r w:rsidRPr="00077C15">
        <w:rPr>
          <w:rFonts w:cs="Arial"/>
          <w:lang w:val="uk-UA"/>
        </w:rPr>
        <w:t>, без попередньої письмової згоди компанії «</w:t>
      </w:r>
      <w:r w:rsidRPr="008137C9">
        <w:rPr>
          <w:rFonts w:cs="Arial"/>
        </w:rPr>
        <w:t>IFF</w:t>
      </w:r>
      <w:r w:rsidRPr="00077C15">
        <w:rPr>
          <w:rFonts w:cs="Arial"/>
          <w:lang w:val="uk-UA"/>
        </w:rPr>
        <w:t>», прямо або опосередковано, не повинні</w:t>
      </w:r>
    </w:p>
    <w:p w:rsidR="00077C15" w:rsidRPr="008137C9" w:rsidRDefault="00077C15" w:rsidP="00077C15">
      <w:pPr>
        <w:pStyle w:val="ad"/>
        <w:numPr>
          <w:ilvl w:val="0"/>
          <w:numId w:val="16"/>
        </w:numPr>
        <w:spacing w:after="120" w:line="240" w:lineRule="auto"/>
        <w:ind w:right="6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7C9">
        <w:rPr>
          <w:rFonts w:ascii="Times New Roman" w:hAnsi="Times New Roman"/>
          <w:sz w:val="24"/>
          <w:szCs w:val="24"/>
        </w:rPr>
        <w:t xml:space="preserve">працевлаштовувати чи приймати на роботу (як співробітника, консультанта або іншої особи) будь-яку фізичну особу, яка (A) є Працівником </w:t>
      </w:r>
      <w:r>
        <w:rPr>
          <w:rFonts w:ascii="Times New Roman" w:hAnsi="Times New Roman"/>
          <w:sz w:val="24"/>
          <w:szCs w:val="24"/>
        </w:rPr>
        <w:t>компанії «</w:t>
      </w:r>
      <w:r w:rsidRPr="008137C9">
        <w:rPr>
          <w:rFonts w:ascii="Times New Roman" w:hAnsi="Times New Roman"/>
          <w:sz w:val="24"/>
          <w:szCs w:val="24"/>
        </w:rPr>
        <w:t>SpinCo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будь-якої з її Дочірніх компаній на Дату розподілу акцій SpinCo або в будь-який час після неї, за винятком будь-якого такого працівника, чия трудова діяльність в </w:t>
      </w:r>
      <w:r>
        <w:rPr>
          <w:rFonts w:ascii="Times New Roman" w:hAnsi="Times New Roman"/>
          <w:sz w:val="24"/>
          <w:szCs w:val="24"/>
        </w:rPr>
        <w:t>компанії «</w:t>
      </w:r>
      <w:r w:rsidRPr="008137C9">
        <w:rPr>
          <w:rFonts w:ascii="Times New Roman" w:hAnsi="Times New Roman"/>
          <w:sz w:val="24"/>
          <w:szCs w:val="24"/>
        </w:rPr>
        <w:t>SpinCo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і її Дочірніх компаніях на Дату розподілу акцій SpinCo була примусово припинена, (B) є колишнім працівником Бізнесу Spinco, чия трудова діяльність в </w:t>
      </w:r>
      <w:r>
        <w:rPr>
          <w:rFonts w:ascii="Times New Roman" w:hAnsi="Times New Roman"/>
          <w:sz w:val="24"/>
          <w:szCs w:val="24"/>
        </w:rPr>
        <w:t>компаніях «</w:t>
      </w:r>
      <w:r w:rsidRPr="008137C9">
        <w:rPr>
          <w:rFonts w:ascii="Times New Roman" w:hAnsi="Times New Roman"/>
          <w:sz w:val="24"/>
          <w:szCs w:val="24"/>
        </w:rPr>
        <w:t>DuPont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</w:rPr>
        <w:t>Spinco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їх відповідних Дочірніх компаніях була припинена в будь-який час протягом періоду, що починається за вісімнадцять місяців до Дати розподілу акцій SpinCo, (С) є Працівником з правом відмови, який отримав вихідну допомогу або пільги будучи Працівником з правом відмови або (</w:t>
      </w:r>
      <w:r w:rsidRPr="008137C9">
        <w:rPr>
          <w:rFonts w:ascii="Times New Roman" w:hAnsi="Times New Roman"/>
          <w:sz w:val="24"/>
          <w:szCs w:val="24"/>
          <w:lang w:val="en-US"/>
        </w:rPr>
        <w:t>D</w:t>
      </w:r>
      <w:r w:rsidRPr="008137C9">
        <w:rPr>
          <w:rFonts w:ascii="Times New Roman" w:hAnsi="Times New Roman"/>
          <w:sz w:val="24"/>
          <w:szCs w:val="24"/>
        </w:rPr>
        <w:t xml:space="preserve">) є працівником компанії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</w:rPr>
        <w:t>IFF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її дочірніх компаній на дату першого представлення або першого повідомлення про нього компанії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</w:rPr>
        <w:t>DuPont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першого знайомства з компанією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</w:rPr>
        <w:t>DuPont</w:t>
      </w:r>
      <w:r>
        <w:rPr>
          <w:rFonts w:ascii="Times New Roman" w:hAnsi="Times New Roman"/>
          <w:sz w:val="24"/>
          <w:szCs w:val="24"/>
        </w:rPr>
        <w:t>» у зв</w:t>
      </w:r>
      <w:r w:rsidRPr="008137C9">
        <w:rPr>
          <w:rFonts w:ascii="Times New Roman" w:hAnsi="Times New Roman"/>
          <w:sz w:val="24"/>
          <w:szCs w:val="24"/>
        </w:rPr>
        <w:t>’язку з тран</w:t>
      </w:r>
      <w:r>
        <w:rPr>
          <w:rFonts w:ascii="Times New Roman" w:hAnsi="Times New Roman"/>
          <w:sz w:val="24"/>
          <w:szCs w:val="24"/>
        </w:rPr>
        <w:t>з</w:t>
      </w:r>
      <w:r w:rsidRPr="008137C9">
        <w:rPr>
          <w:rFonts w:ascii="Times New Roman" w:hAnsi="Times New Roman"/>
          <w:sz w:val="24"/>
          <w:szCs w:val="24"/>
        </w:rPr>
        <w:t>акціями, передбаченими Тран</w:t>
      </w:r>
      <w:r>
        <w:rPr>
          <w:rFonts w:ascii="Times New Roman" w:hAnsi="Times New Roman"/>
          <w:sz w:val="24"/>
          <w:szCs w:val="24"/>
        </w:rPr>
        <w:t>з</w:t>
      </w:r>
      <w:r w:rsidRPr="008137C9">
        <w:rPr>
          <w:rFonts w:ascii="Times New Roman" w:hAnsi="Times New Roman"/>
          <w:sz w:val="24"/>
          <w:szCs w:val="24"/>
        </w:rPr>
        <w:t>акційними документами, за винятком будь-якої тако</w:t>
      </w:r>
      <w:r>
        <w:rPr>
          <w:rFonts w:ascii="Times New Roman" w:hAnsi="Times New Roman"/>
          <w:sz w:val="24"/>
          <w:szCs w:val="24"/>
        </w:rPr>
        <w:t>ї</w:t>
      </w:r>
      <w:r w:rsidRPr="008137C9">
        <w:rPr>
          <w:rFonts w:ascii="Times New Roman" w:hAnsi="Times New Roman"/>
          <w:sz w:val="24"/>
          <w:szCs w:val="24"/>
        </w:rPr>
        <w:t xml:space="preserve"> особи, чия трудова діяльність в </w:t>
      </w:r>
      <w:r>
        <w:rPr>
          <w:rFonts w:ascii="Times New Roman" w:hAnsi="Times New Roman"/>
          <w:sz w:val="24"/>
          <w:szCs w:val="24"/>
        </w:rPr>
        <w:t>компанії «</w:t>
      </w:r>
      <w:r w:rsidRPr="008137C9">
        <w:rPr>
          <w:rFonts w:ascii="Times New Roman" w:hAnsi="Times New Roman"/>
          <w:sz w:val="24"/>
          <w:szCs w:val="24"/>
        </w:rPr>
        <w:t>IFF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і її Дочірніх компаніях була примусово припинена; або</w:t>
      </w:r>
    </w:p>
    <w:p w:rsidR="00077C15" w:rsidRPr="008137C9" w:rsidRDefault="00077C15" w:rsidP="00077C15">
      <w:pPr>
        <w:pStyle w:val="ad"/>
        <w:numPr>
          <w:ilvl w:val="0"/>
          <w:numId w:val="16"/>
        </w:numPr>
        <w:spacing w:after="0" w:line="240" w:lineRule="auto"/>
        <w:ind w:right="6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7C9">
        <w:rPr>
          <w:rFonts w:ascii="Times New Roman" w:hAnsi="Times New Roman"/>
          <w:sz w:val="24"/>
          <w:szCs w:val="24"/>
        </w:rPr>
        <w:t xml:space="preserve">схиляти або пробувати схиляти будь-яких Осіб, як визначено в Розділі 1.13 (а) (i) до припинення його або її трудових відносин або іншим чином припинення його або її відносин з компанією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</w:rPr>
        <w:t>SpinCo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будь-якою з її Дочірніх компаній, або компанією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  <w:lang w:val="en-GB"/>
        </w:rPr>
        <w:t>IFF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, або її Дочірніх компаній, в залежності від обставин; за умови, що ніщо в даному Розділі 1.13 (а) не повинно забороняти будь-яке загальне прагнення до працевлаштування за допомогою реклами та пошукових фірм, не спрямованих конкретно на працівників </w:t>
      </w:r>
      <w:r>
        <w:rPr>
          <w:rFonts w:ascii="Times New Roman" w:hAnsi="Times New Roman"/>
          <w:sz w:val="24"/>
          <w:szCs w:val="24"/>
        </w:rPr>
        <w:t>компанії «</w:t>
      </w:r>
      <w:r w:rsidRPr="008137C9">
        <w:rPr>
          <w:rFonts w:ascii="Times New Roman" w:hAnsi="Times New Roman"/>
          <w:sz w:val="24"/>
          <w:szCs w:val="24"/>
        </w:rPr>
        <w:t>SpinCo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будь-яких з </w:t>
      </w:r>
      <w:r>
        <w:rPr>
          <w:rFonts w:ascii="Times New Roman" w:hAnsi="Times New Roman"/>
          <w:sz w:val="24"/>
          <w:szCs w:val="24"/>
        </w:rPr>
        <w:t>її Дочірніх компаній</w:t>
      </w:r>
      <w:r w:rsidRPr="008137C9">
        <w:rPr>
          <w:rFonts w:ascii="Times New Roman" w:hAnsi="Times New Roman"/>
          <w:sz w:val="24"/>
          <w:szCs w:val="24"/>
        </w:rPr>
        <w:t xml:space="preserve">, або </w:t>
      </w:r>
      <w:r>
        <w:rPr>
          <w:rFonts w:ascii="Times New Roman" w:hAnsi="Times New Roman"/>
          <w:sz w:val="24"/>
          <w:szCs w:val="24"/>
        </w:rPr>
        <w:t>компанії «</w:t>
      </w:r>
      <w:r w:rsidRPr="008137C9">
        <w:rPr>
          <w:rFonts w:ascii="Times New Roman" w:hAnsi="Times New Roman"/>
          <w:sz w:val="24"/>
          <w:szCs w:val="24"/>
          <w:lang w:val="en-GB"/>
        </w:rPr>
        <w:t>IFF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, або будь-якої з її Дочірніх компаній, або (відповідно до останнього речення цього документа) бути найманим в результаті цього, до тих пір поки компанія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sz w:val="24"/>
          <w:szCs w:val="24"/>
        </w:rPr>
        <w:t>DuPont</w:t>
      </w:r>
      <w:r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 xml:space="preserve"> або будь-який член Групи DuPont не будуть рекомендувати або радити такій фірмі звертатися до будь-якого такого працівника</w:t>
      </w:r>
      <w:r w:rsidR="003E1490">
        <w:rPr>
          <w:rFonts w:ascii="Times New Roman" w:hAnsi="Times New Roman"/>
          <w:sz w:val="24"/>
          <w:szCs w:val="24"/>
        </w:rPr>
        <w:t>»</w:t>
      </w:r>
      <w:r w:rsidRPr="008137C9">
        <w:rPr>
          <w:rFonts w:ascii="Times New Roman" w:hAnsi="Times New Roman"/>
          <w:sz w:val="24"/>
          <w:szCs w:val="24"/>
        </w:rPr>
        <w:t>.</w:t>
      </w:r>
    </w:p>
    <w:p w:rsidR="00077C15" w:rsidRPr="008137C9" w:rsidRDefault="00077C15" w:rsidP="00077C15">
      <w:pPr>
        <w:ind w:right="68"/>
        <w:jc w:val="both"/>
        <w:rPr>
          <w:rFonts w:cs="Arial"/>
        </w:rPr>
      </w:pPr>
    </w:p>
    <w:p w:rsidR="00077C15" w:rsidRPr="008137C9" w:rsidRDefault="00077C15" w:rsidP="00077C15">
      <w:pPr>
        <w:ind w:left="709" w:right="68"/>
        <w:jc w:val="both"/>
        <w:rPr>
          <w:rFonts w:cs="Arial"/>
        </w:rPr>
      </w:pPr>
      <w:r w:rsidRPr="008137C9">
        <w:rPr>
          <w:rFonts w:cs="Arial"/>
        </w:rPr>
        <w:t>Незважаючи на зазначене, протягом перш</w:t>
      </w:r>
      <w:r>
        <w:rPr>
          <w:rFonts w:cs="Arial"/>
        </w:rPr>
        <w:t xml:space="preserve">их дванадцяти </w:t>
      </w:r>
      <w:r w:rsidRPr="008137C9">
        <w:rPr>
          <w:rFonts w:cs="Arial"/>
        </w:rPr>
        <w:t xml:space="preserve">місяців Періоду заборони переманювання працівників, компанія </w:t>
      </w:r>
      <w:r>
        <w:rPr>
          <w:rFonts w:cs="Arial"/>
        </w:rPr>
        <w:t>«</w:t>
      </w:r>
      <w:r w:rsidRPr="008137C9">
        <w:rPr>
          <w:rFonts w:cs="Arial"/>
        </w:rPr>
        <w:t>DuPont</w:t>
      </w:r>
      <w:r>
        <w:rPr>
          <w:rFonts w:cs="Arial"/>
        </w:rPr>
        <w:t>»</w:t>
      </w:r>
      <w:r w:rsidRPr="008137C9">
        <w:rPr>
          <w:rFonts w:cs="Arial"/>
        </w:rPr>
        <w:t xml:space="preserve"> та жоден член Групи </w:t>
      </w:r>
      <w:r w:rsidRPr="008137C9">
        <w:rPr>
          <w:rFonts w:cs="Arial"/>
          <w:lang w:val="en-GB"/>
        </w:rPr>
        <w:t>DuPont</w:t>
      </w:r>
      <w:r w:rsidRPr="008137C9">
        <w:rPr>
          <w:rFonts w:cs="Arial"/>
        </w:rPr>
        <w:t xml:space="preserve">, без попередньої письмової згоди компанії </w:t>
      </w:r>
      <w:r>
        <w:rPr>
          <w:rFonts w:cs="Arial"/>
        </w:rPr>
        <w:t>«</w:t>
      </w:r>
      <w:r w:rsidRPr="008137C9">
        <w:rPr>
          <w:rFonts w:cs="Arial"/>
        </w:rPr>
        <w:t>IFF</w:t>
      </w:r>
      <w:r>
        <w:rPr>
          <w:rFonts w:cs="Arial"/>
        </w:rPr>
        <w:t>»</w:t>
      </w:r>
      <w:r w:rsidRPr="008137C9">
        <w:rPr>
          <w:rFonts w:cs="Arial"/>
        </w:rPr>
        <w:t xml:space="preserve">, прямо або опосередковано, не повинні наймати будь-якого Працівника з правом відмови, як визначено </w:t>
      </w:r>
      <w:r w:rsidR="003E1490">
        <w:rPr>
          <w:rFonts w:cs="Arial"/>
          <w:lang w:val="uk-UA"/>
        </w:rPr>
        <w:t>в</w:t>
      </w:r>
      <w:r w:rsidRPr="008137C9">
        <w:rPr>
          <w:rFonts w:cs="Arial"/>
        </w:rPr>
        <w:t xml:space="preserve"> </w:t>
      </w:r>
      <w:r w:rsidR="003E1490">
        <w:rPr>
          <w:rFonts w:cs="Arial"/>
          <w:lang w:val="uk-UA"/>
        </w:rPr>
        <w:t xml:space="preserve">                                   р</w:t>
      </w:r>
      <w:r w:rsidRPr="008137C9">
        <w:rPr>
          <w:rFonts w:cs="Arial"/>
        </w:rPr>
        <w:t>озділі 1.13 (а)(i)(С).</w:t>
      </w:r>
    </w:p>
    <w:p w:rsidR="00077C15" w:rsidRPr="008137C9" w:rsidRDefault="00077C15" w:rsidP="00077C15">
      <w:pPr>
        <w:ind w:right="68"/>
        <w:jc w:val="both"/>
        <w:rPr>
          <w:rFonts w:cs="Arial"/>
        </w:rPr>
      </w:pPr>
    </w:p>
    <w:p w:rsidR="00077C15" w:rsidRPr="008137C9" w:rsidRDefault="00077C15" w:rsidP="00077C15">
      <w:pPr>
        <w:ind w:firstLine="709"/>
        <w:jc w:val="both"/>
        <w:rPr>
          <w:rFonts w:cs="Arial"/>
        </w:rPr>
      </w:pPr>
      <w:r w:rsidRPr="008137C9">
        <w:rPr>
          <w:rFonts w:cs="Arial"/>
        </w:rPr>
        <w:t xml:space="preserve">Кожна компанія </w:t>
      </w:r>
      <w:r>
        <w:rPr>
          <w:rFonts w:cs="Arial"/>
        </w:rPr>
        <w:t>«</w:t>
      </w:r>
      <w:r w:rsidRPr="008137C9">
        <w:rPr>
          <w:rFonts w:cs="Arial"/>
        </w:rPr>
        <w:t>IFF</w:t>
      </w:r>
      <w:r>
        <w:rPr>
          <w:rFonts w:cs="Arial"/>
        </w:rPr>
        <w:t>»</w:t>
      </w:r>
      <w:r w:rsidRPr="008137C9">
        <w:rPr>
          <w:rFonts w:cs="Arial"/>
        </w:rPr>
        <w:t xml:space="preserve"> і, після Дати розподілу акцій SpinCo, компанія </w:t>
      </w:r>
      <w:r>
        <w:rPr>
          <w:rFonts w:cs="Arial"/>
        </w:rPr>
        <w:t>«</w:t>
      </w:r>
      <w:r w:rsidRPr="008137C9">
        <w:rPr>
          <w:rFonts w:cs="Arial"/>
        </w:rPr>
        <w:t>SpinCo</w:t>
      </w:r>
      <w:r>
        <w:rPr>
          <w:rFonts w:cs="Arial"/>
        </w:rPr>
        <w:t>»</w:t>
      </w:r>
      <w:r w:rsidRPr="008137C9">
        <w:rPr>
          <w:rFonts w:cs="Arial"/>
        </w:rPr>
        <w:t xml:space="preserve"> </w:t>
      </w:r>
      <w:r w:rsidR="003E1490">
        <w:rPr>
          <w:rFonts w:cs="Arial"/>
          <w:lang w:val="uk-UA"/>
        </w:rPr>
        <w:t>«</w:t>
      </w:r>
      <w:r w:rsidRPr="008137C9">
        <w:rPr>
          <w:rFonts w:cs="Arial"/>
        </w:rPr>
        <w:t xml:space="preserve">погоджується, що протягом Періоду заборони переманювання працівників, вона та жоден член Групи SpinCо, без попередньої письмової згоди компанії </w:t>
      </w:r>
      <w:r>
        <w:rPr>
          <w:rFonts w:cs="Arial"/>
        </w:rPr>
        <w:t>«</w:t>
      </w:r>
      <w:r w:rsidRPr="008137C9">
        <w:rPr>
          <w:rFonts w:cs="Arial"/>
        </w:rPr>
        <w:t>DuPont</w:t>
      </w:r>
      <w:r>
        <w:rPr>
          <w:rFonts w:cs="Arial"/>
        </w:rPr>
        <w:t>»</w:t>
      </w:r>
      <w:r w:rsidRPr="008137C9">
        <w:rPr>
          <w:rFonts w:cs="Arial"/>
        </w:rPr>
        <w:t>, прямо або опосередковано, не повинні,</w:t>
      </w:r>
    </w:p>
    <w:p w:rsidR="00077C15" w:rsidRPr="008137C9" w:rsidRDefault="00077C15" w:rsidP="00077C15">
      <w:pPr>
        <w:pStyle w:val="ad"/>
        <w:numPr>
          <w:ilvl w:val="0"/>
          <w:numId w:val="17"/>
        </w:numPr>
        <w:spacing w:after="120" w:line="240" w:lineRule="auto"/>
        <w:ind w:right="6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7C9">
        <w:rPr>
          <w:rFonts w:ascii="Times New Roman" w:hAnsi="Times New Roman"/>
          <w:sz w:val="24"/>
          <w:szCs w:val="24"/>
        </w:rPr>
        <w:t xml:space="preserve">працевлаштовувати чи приймати на роботу (як співробітника, консультанта або іншої особи) будь-яку фізичну особу, яка (A) є працівником компанії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color w:val="000000"/>
          <w:sz w:val="24"/>
          <w:szCs w:val="24"/>
          <w:lang w:val="en-GB"/>
        </w:rPr>
        <w:t>DuPont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8137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37C9">
        <w:rPr>
          <w:rFonts w:ascii="Times New Roman" w:hAnsi="Times New Roman"/>
          <w:sz w:val="24"/>
          <w:szCs w:val="24"/>
        </w:rPr>
        <w:t xml:space="preserve">або будь-якої з її Дочірніх компаній на момент після Розподілу акцій SpinCo або в будь-який час після нього, за винятком будь-якого такого працівника, чия трудова діяльність в компанії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color w:val="000000"/>
          <w:sz w:val="24"/>
          <w:szCs w:val="24"/>
          <w:lang w:val="en-GB"/>
        </w:rPr>
        <w:t>DuPont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8137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37C9">
        <w:rPr>
          <w:rFonts w:ascii="Times New Roman" w:hAnsi="Times New Roman"/>
          <w:sz w:val="24"/>
          <w:szCs w:val="24"/>
        </w:rPr>
        <w:t>і її Дочірніх компаніях на період Розподілу акцій SpinCo була примусово припинена, (B) є Працівником з правом відмови, який отримав вихідну допомогу або пільги будучи Працівником з правом відмови, або</w:t>
      </w:r>
    </w:p>
    <w:p w:rsidR="00077C15" w:rsidRPr="008137C9" w:rsidRDefault="00077C15" w:rsidP="00077C15">
      <w:pPr>
        <w:pStyle w:val="ad"/>
        <w:numPr>
          <w:ilvl w:val="0"/>
          <w:numId w:val="17"/>
        </w:numPr>
        <w:spacing w:after="120" w:line="240" w:lineRule="auto"/>
        <w:ind w:right="6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7C9">
        <w:rPr>
          <w:rFonts w:ascii="Times New Roman" w:hAnsi="Times New Roman"/>
          <w:sz w:val="24"/>
          <w:szCs w:val="24"/>
        </w:rPr>
        <w:lastRenderedPageBreak/>
        <w:t xml:space="preserve">схиляти або пробувати схиляти будь-яких Осіб, як визначено в Розділі 1.13 (а) (i) до припинення його або її трудових відносин або іншим чином припинення його або її відносин з компанією </w:t>
      </w:r>
      <w:r>
        <w:rPr>
          <w:rFonts w:ascii="Times New Roman" w:hAnsi="Times New Roman"/>
          <w:sz w:val="24"/>
          <w:szCs w:val="24"/>
        </w:rPr>
        <w:t>«</w:t>
      </w:r>
      <w:r w:rsidRPr="008137C9">
        <w:rPr>
          <w:rFonts w:ascii="Times New Roman" w:hAnsi="Times New Roman"/>
          <w:color w:val="000000"/>
          <w:sz w:val="24"/>
          <w:szCs w:val="24"/>
          <w:lang w:val="en-GB"/>
        </w:rPr>
        <w:t>DuPont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8137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37C9">
        <w:rPr>
          <w:rFonts w:ascii="Times New Roman" w:hAnsi="Times New Roman"/>
          <w:sz w:val="24"/>
          <w:szCs w:val="24"/>
        </w:rPr>
        <w:t>або будь-якою з її Дочірніх компаній;</w:t>
      </w:r>
    </w:p>
    <w:p w:rsidR="00077C15" w:rsidRPr="008137C9" w:rsidRDefault="00077C15" w:rsidP="00077C15">
      <w:pPr>
        <w:ind w:right="68"/>
        <w:jc w:val="both"/>
      </w:pPr>
    </w:p>
    <w:p w:rsidR="00077C15" w:rsidRPr="008137C9" w:rsidRDefault="00077C15" w:rsidP="00077C15">
      <w:pPr>
        <w:ind w:left="709" w:right="68"/>
        <w:jc w:val="both"/>
      </w:pPr>
      <w:r w:rsidRPr="008137C9">
        <w:t xml:space="preserve">за умови, що ніщо в даному Розділі 1.13 (а) не повинно забороняти будь-яке загальне прагнення до працевлаштування за допомогою реклами та пошукових фірм, не спрямованих конкретно на працівників компанії </w:t>
      </w:r>
      <w:r>
        <w:t>«</w:t>
      </w:r>
      <w:r w:rsidRPr="00077C15">
        <w:rPr>
          <w:rFonts w:eastAsia="Calibri"/>
          <w:color w:val="000000"/>
          <w:lang w:val="en-GB" w:eastAsia="en-US"/>
        </w:rPr>
        <w:t>DuPont</w:t>
      </w:r>
      <w:r w:rsidRPr="00077C15">
        <w:rPr>
          <w:rFonts w:eastAsia="Calibri"/>
          <w:color w:val="000000"/>
          <w:lang w:eastAsia="en-US"/>
        </w:rPr>
        <w:t xml:space="preserve">» </w:t>
      </w:r>
      <w:r w:rsidRPr="008137C9">
        <w:t xml:space="preserve">або будь-який з Дочірніх компаній </w:t>
      </w:r>
      <w:r>
        <w:t>«</w:t>
      </w:r>
      <w:r w:rsidRPr="00077C15">
        <w:rPr>
          <w:rFonts w:eastAsia="Calibri"/>
          <w:color w:val="000000"/>
          <w:lang w:val="en-GB" w:eastAsia="en-US"/>
        </w:rPr>
        <w:t>DuPont</w:t>
      </w:r>
      <w:r w:rsidRPr="00077C15">
        <w:rPr>
          <w:rFonts w:eastAsia="Calibri"/>
          <w:color w:val="000000"/>
          <w:lang w:eastAsia="en-US"/>
        </w:rPr>
        <w:t>»</w:t>
      </w:r>
      <w:r w:rsidRPr="008137C9">
        <w:t xml:space="preserve"> або (відповідно до останнього речення цього документа) бути найманим в результаті цього, до тих пір поки ні компанія </w:t>
      </w:r>
      <w:r>
        <w:t>«</w:t>
      </w:r>
      <w:r w:rsidRPr="008137C9">
        <w:rPr>
          <w:rFonts w:cs="Arial"/>
        </w:rPr>
        <w:t>IFF</w:t>
      </w:r>
      <w:r>
        <w:rPr>
          <w:rFonts w:cs="Arial"/>
        </w:rPr>
        <w:t>»</w:t>
      </w:r>
      <w:r w:rsidRPr="008137C9">
        <w:rPr>
          <w:rFonts w:cs="Arial"/>
        </w:rPr>
        <w:t xml:space="preserve">, ні компанія </w:t>
      </w:r>
      <w:r>
        <w:rPr>
          <w:rFonts w:cs="Arial"/>
        </w:rPr>
        <w:t>«</w:t>
      </w:r>
      <w:r w:rsidRPr="008137C9">
        <w:t>SpinCo</w:t>
      </w:r>
      <w:r>
        <w:t>»</w:t>
      </w:r>
      <w:r w:rsidRPr="008137C9">
        <w:t xml:space="preserve"> не будуть рекомендувати або радити такій фірмі звертатися до будь-якого такого працівника.</w:t>
      </w:r>
    </w:p>
    <w:p w:rsidR="00077C15" w:rsidRPr="008137C9" w:rsidRDefault="00077C15" w:rsidP="00077C15">
      <w:pPr>
        <w:ind w:right="68"/>
        <w:jc w:val="both"/>
      </w:pPr>
    </w:p>
    <w:p w:rsidR="00077C15" w:rsidRPr="008137C9" w:rsidRDefault="00077C15" w:rsidP="00077C15">
      <w:pPr>
        <w:ind w:left="709" w:right="68"/>
        <w:jc w:val="both"/>
        <w:rPr>
          <w:rFonts w:cs="Arial"/>
        </w:rPr>
      </w:pPr>
      <w:r w:rsidRPr="008137C9">
        <w:rPr>
          <w:rFonts w:cs="Arial"/>
        </w:rPr>
        <w:t xml:space="preserve">Незважаючи на вищезазначене, протягом перших дванадцяти місяців Періоду заборони переманювання працівників, компанія </w:t>
      </w:r>
      <w:r>
        <w:rPr>
          <w:rFonts w:cs="Arial"/>
        </w:rPr>
        <w:t>«</w:t>
      </w:r>
      <w:r w:rsidRPr="008137C9">
        <w:rPr>
          <w:rFonts w:cs="Arial"/>
        </w:rPr>
        <w:t>IFF</w:t>
      </w:r>
      <w:r>
        <w:rPr>
          <w:rFonts w:cs="Arial"/>
        </w:rPr>
        <w:t>»</w:t>
      </w:r>
      <w:r w:rsidRPr="008137C9">
        <w:rPr>
          <w:rFonts w:cs="Arial"/>
        </w:rPr>
        <w:t xml:space="preserve"> і після Дати розподілу акцій </w:t>
      </w:r>
      <w:r w:rsidRPr="008137C9">
        <w:t xml:space="preserve">SpinCo , компанія </w:t>
      </w:r>
      <w:r>
        <w:t>«</w:t>
      </w:r>
      <w:r w:rsidRPr="008137C9">
        <w:t>SpinCo</w:t>
      </w:r>
      <w:r>
        <w:t>»</w:t>
      </w:r>
      <w:r w:rsidRPr="008137C9">
        <w:t xml:space="preserve"> </w:t>
      </w:r>
      <w:r w:rsidRPr="008137C9">
        <w:rPr>
          <w:rFonts w:cs="Arial"/>
        </w:rPr>
        <w:t xml:space="preserve">та жоден член Групи </w:t>
      </w:r>
      <w:r w:rsidRPr="008137C9">
        <w:t>SpinCo</w:t>
      </w:r>
      <w:r w:rsidRPr="008137C9">
        <w:rPr>
          <w:rFonts w:cs="Arial"/>
        </w:rPr>
        <w:t xml:space="preserve">, без попередньої письмової згоди компанії </w:t>
      </w:r>
      <w:r>
        <w:rPr>
          <w:rFonts w:cs="Arial"/>
        </w:rPr>
        <w:t>«</w:t>
      </w:r>
      <w:r w:rsidRPr="008137C9">
        <w:rPr>
          <w:rFonts w:cs="Arial"/>
        </w:rPr>
        <w:t>DuPont</w:t>
      </w:r>
      <w:r>
        <w:rPr>
          <w:rFonts w:cs="Arial"/>
        </w:rPr>
        <w:t>»</w:t>
      </w:r>
      <w:r w:rsidRPr="008137C9">
        <w:rPr>
          <w:rFonts w:cs="Arial"/>
        </w:rPr>
        <w:t>, прямо або опосередковано, не повинні наймати будь-якого Працівника з правом відмови, як визначено у Розділі 1.13 (</w:t>
      </w:r>
      <w:r w:rsidRPr="008137C9">
        <w:rPr>
          <w:rFonts w:cs="Arial"/>
          <w:lang w:val="en-US"/>
        </w:rPr>
        <w:t>b</w:t>
      </w:r>
      <w:r w:rsidRPr="008137C9">
        <w:rPr>
          <w:rFonts w:cs="Arial"/>
        </w:rPr>
        <w:t>)(i)(B)</w:t>
      </w:r>
      <w:r w:rsidR="003E1490">
        <w:rPr>
          <w:rFonts w:cs="Arial"/>
          <w:lang w:val="uk-UA"/>
        </w:rPr>
        <w:t>»</w:t>
      </w:r>
      <w:r w:rsidRPr="008137C9">
        <w:rPr>
          <w:rFonts w:cs="Arial"/>
        </w:rPr>
        <w:t>.</w:t>
      </w:r>
    </w:p>
    <w:p w:rsidR="00077C15" w:rsidRDefault="00077C15" w:rsidP="002368D6">
      <w:pPr>
        <w:ind w:firstLine="851"/>
        <w:jc w:val="both"/>
        <w:rPr>
          <w:lang w:val="uk-UA"/>
        </w:rPr>
      </w:pPr>
    </w:p>
    <w:p w:rsidR="002368D6" w:rsidRPr="00077C15" w:rsidRDefault="002368D6" w:rsidP="00077C15">
      <w:pPr>
        <w:ind w:firstLine="709"/>
        <w:jc w:val="both"/>
        <w:rPr>
          <w:lang w:val="uk-UA"/>
        </w:rPr>
      </w:pPr>
      <w:r w:rsidRPr="00077C15">
        <w:rPr>
          <w:lang w:val="uk-UA"/>
        </w:rPr>
        <w:t xml:space="preserve">Положення </w:t>
      </w:r>
      <w:r w:rsidR="00A8187A">
        <w:rPr>
          <w:lang w:val="uk-UA"/>
        </w:rPr>
        <w:t>про</w:t>
      </w:r>
      <w:r w:rsidRPr="00077C15">
        <w:rPr>
          <w:lang w:val="uk-UA"/>
        </w:rPr>
        <w:t xml:space="preserve"> утримання від конкуренції та заборону переманювання працівників є виключно допоміжними </w:t>
      </w:r>
      <w:r w:rsidR="005C68F8">
        <w:rPr>
          <w:lang w:val="uk-UA"/>
        </w:rPr>
        <w:t>заходами</w:t>
      </w:r>
      <w:r w:rsidRPr="00077C15">
        <w:rPr>
          <w:lang w:val="uk-UA"/>
        </w:rPr>
        <w:t xml:space="preserve"> та мають забезпечити здійснення концентрацій.</w:t>
      </w:r>
    </w:p>
    <w:p w:rsidR="002368D6" w:rsidRPr="00077C15" w:rsidRDefault="002368D6" w:rsidP="00077C15">
      <w:pPr>
        <w:ind w:firstLine="709"/>
        <w:jc w:val="both"/>
        <w:rPr>
          <w:lang w:val="uk-UA"/>
        </w:rPr>
      </w:pPr>
    </w:p>
    <w:p w:rsidR="004C128F" w:rsidRDefault="004B15C6" w:rsidP="00077C15">
      <w:pPr>
        <w:ind w:firstLine="709"/>
        <w:jc w:val="both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A8187A" w:rsidRDefault="00A8187A" w:rsidP="00077C15">
      <w:pPr>
        <w:ind w:firstLine="709"/>
        <w:jc w:val="both"/>
        <w:rPr>
          <w:lang w:val="uk-UA"/>
        </w:rPr>
      </w:pPr>
    </w:p>
    <w:p w:rsidR="008E3CEA" w:rsidRDefault="00E93B54" w:rsidP="00077C15">
      <w:pPr>
        <w:ind w:firstLine="709"/>
        <w:jc w:val="both"/>
      </w:pPr>
      <w:r w:rsidRPr="00077C15">
        <w:rPr>
          <w:lang w:val="uk-UA"/>
        </w:rPr>
        <w:t>Враховуючи</w:t>
      </w:r>
      <w:r w:rsidRPr="000D1C3E">
        <w:t xml:space="preserve"> викладене, керуючись </w:t>
      </w:r>
      <w:r w:rsidR="008E3CEA" w:rsidRPr="000D1C3E">
        <w:t>статт</w:t>
      </w:r>
      <w:r w:rsidR="00B92FC0" w:rsidRPr="000D1C3E">
        <w:t>е</w:t>
      </w:r>
      <w:r w:rsidR="003F2C27" w:rsidRPr="000D1C3E">
        <w:t>ю</w:t>
      </w:r>
      <w:r w:rsidR="008E3CEA" w:rsidRPr="000D1C3E">
        <w:t xml:space="preserve"> 7 </w:t>
      </w:r>
      <w:r w:rsidRPr="000D1C3E">
        <w:t>Закону України</w:t>
      </w:r>
      <w:r w:rsidR="00596EC4" w:rsidRPr="000D1C3E">
        <w:t xml:space="preserve"> </w:t>
      </w:r>
      <w:r w:rsidR="00E538E3" w:rsidRPr="000D1C3E">
        <w:t>«</w:t>
      </w:r>
      <w:r w:rsidR="00596EC4" w:rsidRPr="000D1C3E">
        <w:t>Про</w:t>
      </w:r>
      <w:r w:rsidR="00427171" w:rsidRPr="000D1C3E">
        <w:t xml:space="preserve"> </w:t>
      </w:r>
      <w:r w:rsidR="00596EC4" w:rsidRPr="000D1C3E">
        <w:t>Ан</w:t>
      </w:r>
      <w:r w:rsidR="002C6146" w:rsidRPr="000D1C3E">
        <w:t>тимонопольний комітет України</w:t>
      </w:r>
      <w:r w:rsidR="00E538E3" w:rsidRPr="000D1C3E">
        <w:t>»</w:t>
      </w:r>
      <w:r w:rsidR="002C6146" w:rsidRPr="000D1C3E">
        <w:t xml:space="preserve"> </w:t>
      </w:r>
      <w:r w:rsidR="00596EC4" w:rsidRPr="000D1C3E">
        <w:t xml:space="preserve">та Положенням про порядок подання заяв до </w:t>
      </w:r>
      <w:r w:rsidR="00C61BC8" w:rsidRPr="000D1C3E">
        <w:t xml:space="preserve">органів Антимонопольного комітету України про надання дозволу на узгоджені </w:t>
      </w:r>
      <w:r w:rsidR="00596EC4" w:rsidRPr="000D1C3E">
        <w:t xml:space="preserve">дії суб’єктів господарювання, затвердженим розпорядженням Антимонопольного комітету України </w:t>
      </w:r>
      <w:r w:rsidR="003257CA" w:rsidRPr="000D1C3E">
        <w:t xml:space="preserve">                                                </w:t>
      </w:r>
      <w:r w:rsidR="00596EC4" w:rsidRPr="000D1C3E">
        <w:t xml:space="preserve">від 12 лютого </w:t>
      </w:r>
      <w:r w:rsidR="003836A6" w:rsidRPr="000D1C3E">
        <w:t xml:space="preserve">2002 року </w:t>
      </w:r>
      <w:r w:rsidR="00596EC4" w:rsidRPr="000D1C3E">
        <w:t>№ 26-р, зареєстрованим у Міністерстві юстиції України 7 березня 2002 року за</w:t>
      </w:r>
      <w:r w:rsidR="004C128F" w:rsidRPr="000D1C3E">
        <w:t xml:space="preserve"> </w:t>
      </w:r>
      <w:r w:rsidR="00596EC4" w:rsidRPr="000D1C3E">
        <w:t xml:space="preserve">№ 238/6526 (зі змінами), </w:t>
      </w:r>
      <w:r w:rsidR="008E3CEA" w:rsidRPr="000D1C3E">
        <w:t>Антимонопольн</w:t>
      </w:r>
      <w:r w:rsidR="00F10DBE" w:rsidRPr="000D1C3E">
        <w:t>ий</w:t>
      </w:r>
      <w:r w:rsidR="008E3CEA" w:rsidRPr="000D1C3E">
        <w:t xml:space="preserve"> комітет України</w:t>
      </w:r>
    </w:p>
    <w:p w:rsidR="00930AD5" w:rsidRPr="000D1C3E" w:rsidRDefault="00930AD5" w:rsidP="00930AD5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4C56B9">
      <w:pPr>
        <w:overflowPunct w:val="0"/>
        <w:autoSpaceDE w:val="0"/>
        <w:autoSpaceDN w:val="0"/>
        <w:adjustRightInd w:val="0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077C15" w:rsidRPr="00077C15" w:rsidRDefault="00A8187A" w:rsidP="00077C15">
      <w:pPr>
        <w:ind w:left="93" w:firstLine="616"/>
        <w:jc w:val="both"/>
        <w:rPr>
          <w:lang w:val="en-US"/>
        </w:rPr>
      </w:pPr>
      <w:r>
        <w:rPr>
          <w:lang w:val="uk-UA"/>
        </w:rPr>
        <w:t>Н</w:t>
      </w:r>
      <w:r w:rsidR="006854FF" w:rsidRPr="006854FF">
        <w:rPr>
          <w:lang w:val="uk-UA"/>
        </w:rPr>
        <w:t xml:space="preserve">адати дозвіл </w:t>
      </w:r>
      <w:r w:rsidR="00077C15" w:rsidRPr="00B22E6E">
        <w:t>компані</w:t>
      </w:r>
      <w:r w:rsidR="00077C15">
        <w:t>ї</w:t>
      </w:r>
      <w:r w:rsidR="00077C15" w:rsidRPr="00077C15">
        <w:rPr>
          <w:lang w:val="en-US"/>
        </w:rPr>
        <w:t xml:space="preserve"> </w:t>
      </w:r>
      <w:r w:rsidR="00077C15" w:rsidRPr="00077C15">
        <w:rPr>
          <w:spacing w:val="-2"/>
          <w:lang w:val="en-US"/>
        </w:rPr>
        <w:t>«International Flavors &amp; Fragrances Inc.» (</w:t>
      </w:r>
      <w:r w:rsidR="00077C15" w:rsidRPr="000D0BCB">
        <w:rPr>
          <w:spacing w:val="-2"/>
        </w:rPr>
        <w:t>м</w:t>
      </w:r>
      <w:r w:rsidR="00077C15" w:rsidRPr="00077C15">
        <w:rPr>
          <w:spacing w:val="-2"/>
          <w:lang w:val="en-US"/>
        </w:rPr>
        <w:t xml:space="preserve">. </w:t>
      </w:r>
      <w:r w:rsidR="00077C15" w:rsidRPr="000D0BCB">
        <w:rPr>
          <w:spacing w:val="-2"/>
        </w:rPr>
        <w:t>Нью</w:t>
      </w:r>
      <w:r w:rsidR="00077C15" w:rsidRPr="00077C15">
        <w:rPr>
          <w:spacing w:val="-2"/>
          <w:lang w:val="en-US"/>
        </w:rPr>
        <w:t>-</w:t>
      </w:r>
      <w:r w:rsidR="00077C15" w:rsidRPr="000D0BCB">
        <w:rPr>
          <w:spacing w:val="-2"/>
        </w:rPr>
        <w:t>Йорк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штат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Нью</w:t>
      </w:r>
      <w:r w:rsidR="00077C15" w:rsidRPr="00077C15">
        <w:rPr>
          <w:spacing w:val="-2"/>
          <w:lang w:val="en-US"/>
        </w:rPr>
        <w:t>-</w:t>
      </w:r>
      <w:r w:rsidR="00077C15" w:rsidRPr="000D0BCB">
        <w:rPr>
          <w:spacing w:val="-2"/>
        </w:rPr>
        <w:t>Йорк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США</w:t>
      </w:r>
      <w:r w:rsidR="00077C15" w:rsidRPr="00077C15">
        <w:rPr>
          <w:spacing w:val="-2"/>
          <w:lang w:val="en-US"/>
        </w:rPr>
        <w:t>)</w:t>
      </w:r>
      <w:r w:rsidR="00077C15" w:rsidRPr="00077C15">
        <w:rPr>
          <w:lang w:val="en-US"/>
        </w:rPr>
        <w:t xml:space="preserve"> </w:t>
      </w:r>
      <w:r w:rsidR="00077C15" w:rsidRPr="00B22E6E">
        <w:t>та</w:t>
      </w:r>
      <w:r w:rsidR="00077C15" w:rsidRPr="00077C15">
        <w:rPr>
          <w:lang w:val="en-US"/>
        </w:rPr>
        <w:t xml:space="preserve"> </w:t>
      </w:r>
      <w:r w:rsidR="00077C15">
        <w:t>компанії</w:t>
      </w:r>
      <w:r w:rsidR="00077C15" w:rsidRPr="00077C15">
        <w:rPr>
          <w:lang w:val="en-US"/>
        </w:rPr>
        <w:t xml:space="preserve"> </w:t>
      </w:r>
      <w:r w:rsidR="00077C15" w:rsidRPr="00077C15">
        <w:rPr>
          <w:spacing w:val="-2"/>
          <w:lang w:val="en-US"/>
        </w:rPr>
        <w:t>«DuPont de Nemours, Inc.» (</w:t>
      </w:r>
      <w:r w:rsidR="00077C15" w:rsidRPr="000D0BCB">
        <w:rPr>
          <w:spacing w:val="-2"/>
        </w:rPr>
        <w:t>м</w:t>
      </w:r>
      <w:r w:rsidR="00077C15" w:rsidRPr="00077C15">
        <w:rPr>
          <w:spacing w:val="-2"/>
          <w:lang w:val="en-US"/>
        </w:rPr>
        <w:t xml:space="preserve">. </w:t>
      </w:r>
      <w:r w:rsidR="00077C15" w:rsidRPr="000D0BCB">
        <w:rPr>
          <w:spacing w:val="-2"/>
        </w:rPr>
        <w:t>Вілмінгтон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штат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Делавер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США</w:t>
      </w:r>
      <w:r w:rsidR="00077C15" w:rsidRPr="00077C15">
        <w:rPr>
          <w:spacing w:val="-2"/>
          <w:lang w:val="en-US"/>
        </w:rPr>
        <w:t>)</w:t>
      </w:r>
      <w:r w:rsidR="00077C15" w:rsidRPr="00077C15">
        <w:rPr>
          <w:lang w:val="en-US"/>
        </w:rPr>
        <w:t xml:space="preserve"> </w:t>
      </w:r>
      <w:r w:rsidR="00077C15" w:rsidRPr="00D965A3">
        <w:t>на</w:t>
      </w:r>
      <w:r w:rsidR="00077C15" w:rsidRPr="00077C15">
        <w:rPr>
          <w:lang w:val="en-US"/>
        </w:rPr>
        <w:t xml:space="preserve"> </w:t>
      </w:r>
      <w:r w:rsidR="00077C15">
        <w:t>у</w:t>
      </w:r>
      <w:r w:rsidR="00077C15" w:rsidRPr="002930B4">
        <w:t>згоджені</w:t>
      </w:r>
      <w:r w:rsidR="00077C15" w:rsidRPr="00077C15">
        <w:rPr>
          <w:lang w:val="en-US"/>
        </w:rPr>
        <w:t xml:space="preserve"> </w:t>
      </w:r>
      <w:r w:rsidR="00077C15" w:rsidRPr="002930B4">
        <w:t>дії</w:t>
      </w:r>
      <w:r w:rsidR="00077C15" w:rsidRPr="00077C15">
        <w:rPr>
          <w:lang w:val="en-US"/>
        </w:rPr>
        <w:t xml:space="preserve"> </w:t>
      </w:r>
      <w:r w:rsidR="00077C15" w:rsidRPr="000D0BCB">
        <w:rPr>
          <w:spacing w:val="-2"/>
        </w:rPr>
        <w:t>у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вигляді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дотримання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положень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щодо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утримання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від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конкуренції</w:t>
      </w:r>
      <w:r w:rsidR="00077C15" w:rsidRPr="00077C15">
        <w:rPr>
          <w:spacing w:val="-2"/>
          <w:lang w:val="en-US"/>
        </w:rPr>
        <w:t xml:space="preserve">, </w:t>
      </w:r>
      <w:r w:rsidR="003E1490">
        <w:rPr>
          <w:spacing w:val="-2"/>
          <w:lang w:val="uk-UA"/>
        </w:rPr>
        <w:t>які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містяться</w:t>
      </w:r>
      <w:r w:rsidR="00077C15" w:rsidRPr="00077C15">
        <w:rPr>
          <w:spacing w:val="-2"/>
          <w:lang w:val="en-US"/>
        </w:rPr>
        <w:t xml:space="preserve"> </w:t>
      </w:r>
      <w:r w:rsidR="003E1490">
        <w:rPr>
          <w:spacing w:val="-2"/>
          <w:lang w:val="uk-UA"/>
        </w:rPr>
        <w:t>в р</w:t>
      </w:r>
      <w:r w:rsidR="00077C15" w:rsidRPr="000D0BCB">
        <w:rPr>
          <w:spacing w:val="-2"/>
        </w:rPr>
        <w:t>озділі</w:t>
      </w:r>
      <w:r w:rsidR="00077C15" w:rsidRPr="00077C15">
        <w:rPr>
          <w:spacing w:val="-2"/>
          <w:lang w:val="en-US"/>
        </w:rPr>
        <w:t xml:space="preserve"> 5.6 </w:t>
      </w:r>
      <w:r w:rsidR="00077C15" w:rsidRPr="000D0BCB">
        <w:rPr>
          <w:spacing w:val="-2"/>
        </w:rPr>
        <w:t>Договору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про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розділення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та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розподіл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укладеного</w:t>
      </w:r>
      <w:r w:rsidR="00077C15" w:rsidRPr="00077C15">
        <w:rPr>
          <w:spacing w:val="-2"/>
          <w:lang w:val="en-US"/>
        </w:rPr>
        <w:t xml:space="preserve"> 15 </w:t>
      </w:r>
      <w:r w:rsidR="00077C15" w:rsidRPr="000D0BCB">
        <w:rPr>
          <w:spacing w:val="-2"/>
        </w:rPr>
        <w:t>грудня</w:t>
      </w:r>
      <w:r w:rsidR="00077C15" w:rsidRPr="00077C15">
        <w:rPr>
          <w:spacing w:val="-2"/>
          <w:lang w:val="en-US"/>
        </w:rPr>
        <w:t xml:space="preserve"> 2019 </w:t>
      </w:r>
      <w:r w:rsidR="00077C15" w:rsidRPr="000D0BCB">
        <w:rPr>
          <w:spacing w:val="-2"/>
        </w:rPr>
        <w:t>року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між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компаніями</w:t>
      </w:r>
      <w:r w:rsidR="00077C15" w:rsidRPr="00077C15">
        <w:rPr>
          <w:spacing w:val="-2"/>
          <w:lang w:val="en-US"/>
        </w:rPr>
        <w:t xml:space="preserve">  «Nutrition &amp; Biosciences, Inc.» (</w:t>
      </w:r>
      <w:r w:rsidR="00077C15" w:rsidRPr="000D0BCB">
        <w:rPr>
          <w:spacing w:val="-2"/>
        </w:rPr>
        <w:t>м</w:t>
      </w:r>
      <w:r w:rsidR="00077C15" w:rsidRPr="00077C15">
        <w:rPr>
          <w:spacing w:val="-2"/>
          <w:lang w:val="en-US"/>
        </w:rPr>
        <w:t xml:space="preserve">. </w:t>
      </w:r>
      <w:r w:rsidR="00077C15">
        <w:rPr>
          <w:spacing w:val="-2"/>
        </w:rPr>
        <w:t>Вілмінгтон</w:t>
      </w:r>
      <w:r w:rsidR="00077C15" w:rsidRPr="00077C15">
        <w:rPr>
          <w:spacing w:val="-2"/>
          <w:lang w:val="en-US"/>
        </w:rPr>
        <w:t xml:space="preserve">, </w:t>
      </w:r>
      <w:r w:rsidR="00077C15">
        <w:rPr>
          <w:spacing w:val="-2"/>
        </w:rPr>
        <w:t>штат</w:t>
      </w:r>
      <w:r w:rsidR="00077C15" w:rsidRPr="00077C15">
        <w:rPr>
          <w:spacing w:val="-2"/>
          <w:lang w:val="en-US"/>
        </w:rPr>
        <w:t xml:space="preserve"> </w:t>
      </w:r>
      <w:r w:rsidR="00077C15">
        <w:rPr>
          <w:spacing w:val="-2"/>
        </w:rPr>
        <w:t>Делавер</w:t>
      </w:r>
      <w:r w:rsidR="00077C15" w:rsidRPr="00077C15">
        <w:rPr>
          <w:spacing w:val="-2"/>
          <w:lang w:val="en-US"/>
        </w:rPr>
        <w:t xml:space="preserve">, </w:t>
      </w:r>
      <w:r w:rsidR="00077C15">
        <w:rPr>
          <w:spacing w:val="-2"/>
        </w:rPr>
        <w:t>США</w:t>
      </w:r>
      <w:r w:rsidR="00077C15" w:rsidRPr="00077C15">
        <w:rPr>
          <w:spacing w:val="-2"/>
          <w:lang w:val="en-US"/>
        </w:rPr>
        <w:t xml:space="preserve">), «DuPont de Nemours, Inc.» </w:t>
      </w:r>
      <w:r w:rsidR="00077C15" w:rsidRPr="000D0BCB">
        <w:rPr>
          <w:spacing w:val="-2"/>
        </w:rPr>
        <w:t>та</w:t>
      </w:r>
      <w:r w:rsidR="00077C15" w:rsidRPr="00077C15">
        <w:rPr>
          <w:spacing w:val="-2"/>
          <w:lang w:val="en-US"/>
        </w:rPr>
        <w:t xml:space="preserve"> «International Flavors &amp; Fragrances Inc.»</w:t>
      </w:r>
      <w:r w:rsidR="003E1490">
        <w:rPr>
          <w:spacing w:val="-2"/>
          <w:lang w:val="uk-UA"/>
        </w:rPr>
        <w:t>,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та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про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заборону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переманювання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працівників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що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містяться</w:t>
      </w:r>
      <w:r w:rsidR="00077C15" w:rsidRPr="00077C15">
        <w:rPr>
          <w:spacing w:val="-2"/>
          <w:lang w:val="en-US"/>
        </w:rPr>
        <w:t xml:space="preserve"> </w:t>
      </w:r>
      <w:r w:rsidR="003E1490">
        <w:rPr>
          <w:spacing w:val="-2"/>
          <w:lang w:val="uk-UA"/>
        </w:rPr>
        <w:t>в р</w:t>
      </w:r>
      <w:r w:rsidR="00077C15" w:rsidRPr="000D0BCB">
        <w:rPr>
          <w:spacing w:val="-2"/>
        </w:rPr>
        <w:t>озділі</w:t>
      </w:r>
      <w:r w:rsidR="00077C15" w:rsidRPr="00077C15">
        <w:rPr>
          <w:spacing w:val="-2"/>
          <w:lang w:val="en-US"/>
        </w:rPr>
        <w:t xml:space="preserve"> 1.13 </w:t>
      </w:r>
      <w:r w:rsidR="00077C15" w:rsidRPr="000D0BCB">
        <w:rPr>
          <w:spacing w:val="-2"/>
        </w:rPr>
        <w:t>Договору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про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трудові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відносини</w:t>
      </w:r>
      <w:r w:rsidR="00077C15" w:rsidRPr="00077C15">
        <w:rPr>
          <w:spacing w:val="-2"/>
          <w:lang w:val="en-US"/>
        </w:rPr>
        <w:t xml:space="preserve">, </w:t>
      </w:r>
      <w:r w:rsidR="00077C15" w:rsidRPr="000D0BCB">
        <w:rPr>
          <w:spacing w:val="-2"/>
        </w:rPr>
        <w:t>укладеного</w:t>
      </w:r>
      <w:r w:rsidR="00077C15" w:rsidRPr="00077C15">
        <w:rPr>
          <w:spacing w:val="-2"/>
          <w:lang w:val="en-US"/>
        </w:rPr>
        <w:t xml:space="preserve"> 15 </w:t>
      </w:r>
      <w:r w:rsidR="00077C15" w:rsidRPr="000D0BCB">
        <w:rPr>
          <w:spacing w:val="-2"/>
        </w:rPr>
        <w:t>грудня</w:t>
      </w:r>
      <w:r w:rsidR="00077C15" w:rsidRPr="00077C15">
        <w:rPr>
          <w:spacing w:val="-2"/>
          <w:lang w:val="en-US"/>
        </w:rPr>
        <w:t xml:space="preserve"> 2019 </w:t>
      </w:r>
      <w:r w:rsidR="00077C15" w:rsidRPr="000D0BCB">
        <w:rPr>
          <w:spacing w:val="-2"/>
        </w:rPr>
        <w:t>року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між</w:t>
      </w:r>
      <w:r w:rsidR="00077C15" w:rsidRPr="00077C15">
        <w:rPr>
          <w:spacing w:val="-2"/>
          <w:lang w:val="en-US"/>
        </w:rPr>
        <w:t xml:space="preserve"> </w:t>
      </w:r>
      <w:r w:rsidR="00077C15" w:rsidRPr="000D0BCB">
        <w:rPr>
          <w:spacing w:val="-2"/>
        </w:rPr>
        <w:t>компаніями</w:t>
      </w:r>
      <w:r w:rsidR="00077C15" w:rsidRPr="00077C15">
        <w:rPr>
          <w:spacing w:val="-2"/>
          <w:lang w:val="en-US"/>
        </w:rPr>
        <w:t xml:space="preserve">  «Nutrition &amp; Biosciences, Inc.», «DuPont de Nemours, Inc.» </w:t>
      </w:r>
      <w:r w:rsidR="00077C15" w:rsidRPr="000D0BCB">
        <w:rPr>
          <w:spacing w:val="-2"/>
        </w:rPr>
        <w:t>та</w:t>
      </w:r>
      <w:r w:rsidR="00077C15" w:rsidRPr="00077C15">
        <w:rPr>
          <w:spacing w:val="-2"/>
          <w:lang w:val="en-US"/>
        </w:rPr>
        <w:t xml:space="preserve"> «International Flavors &amp; Fragrances Inc.»</w:t>
      </w:r>
      <w:r w:rsidR="00077C15" w:rsidRPr="00077C15">
        <w:rPr>
          <w:lang w:val="en-US"/>
        </w:rPr>
        <w:t xml:space="preserve">, </w:t>
      </w:r>
      <w:r w:rsidR="00077C15" w:rsidRPr="00D965A3">
        <w:t>строком</w:t>
      </w:r>
      <w:r w:rsidR="00077C15" w:rsidRPr="00077C15">
        <w:rPr>
          <w:lang w:val="en-US"/>
        </w:rPr>
        <w:t xml:space="preserve"> </w:t>
      </w:r>
      <w:r w:rsidR="00077C15" w:rsidRPr="00D965A3">
        <w:t>на</w:t>
      </w:r>
      <w:r w:rsidR="00077C15" w:rsidRPr="00077C15">
        <w:rPr>
          <w:lang w:val="en-US"/>
        </w:rPr>
        <w:t xml:space="preserve"> </w:t>
      </w:r>
      <w:r w:rsidR="00077C15">
        <w:t>п</w:t>
      </w:r>
      <w:r w:rsidR="00077C15" w:rsidRPr="00077C15">
        <w:rPr>
          <w:lang w:val="en-US"/>
        </w:rPr>
        <w:t>’</w:t>
      </w:r>
      <w:r w:rsidR="00077C15">
        <w:t>ять</w:t>
      </w:r>
      <w:r w:rsidR="00077C15" w:rsidRPr="00077C15">
        <w:rPr>
          <w:lang w:val="en-US"/>
        </w:rPr>
        <w:t xml:space="preserve"> </w:t>
      </w:r>
      <w:r w:rsidR="00077C15">
        <w:t>років</w:t>
      </w:r>
      <w:r w:rsidR="00077C15" w:rsidRPr="00077C15">
        <w:rPr>
          <w:lang w:val="en-US"/>
        </w:rPr>
        <w:t>.</w:t>
      </w:r>
    </w:p>
    <w:p w:rsidR="008F635D" w:rsidRPr="00077C15" w:rsidRDefault="008F635D" w:rsidP="00077C15">
      <w:pPr>
        <w:ind w:firstLine="709"/>
        <w:jc w:val="both"/>
        <w:rPr>
          <w:lang w:val="en-US"/>
        </w:rPr>
      </w:pPr>
    </w:p>
    <w:p w:rsidR="006E6E1C" w:rsidRPr="00886393" w:rsidRDefault="006E6E1C" w:rsidP="00930AD5">
      <w:pPr>
        <w:tabs>
          <w:tab w:val="left" w:pos="720"/>
        </w:tabs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960DF3" w:rsidRPr="00136EF4" w:rsidRDefault="002368D6" w:rsidP="00960DF3">
      <w:pPr>
        <w:rPr>
          <w:color w:val="000000"/>
        </w:rPr>
      </w:pPr>
      <w:r>
        <w:rPr>
          <w:lang w:val="uk-UA"/>
        </w:rPr>
        <w:t xml:space="preserve">Голова Комітету                                                                                           </w:t>
      </w:r>
      <w:r w:rsidR="00077C15">
        <w:rPr>
          <w:lang w:val="uk-UA"/>
        </w:rPr>
        <w:t>О. ПІЩАНСЬКА</w:t>
      </w:r>
    </w:p>
    <w:p w:rsidR="00C519D0" w:rsidRDefault="00C519D0" w:rsidP="00C519D0"/>
    <w:p w:rsidR="00596EC4" w:rsidRPr="00C519D0" w:rsidRDefault="00596EC4" w:rsidP="00C519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</w:pPr>
    </w:p>
    <w:sectPr w:rsidR="00596EC4" w:rsidRPr="00C519D0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FD" w:rsidRDefault="00BA26FD">
      <w:r>
        <w:separator/>
      </w:r>
    </w:p>
  </w:endnote>
  <w:endnote w:type="continuationSeparator" w:id="0">
    <w:p w:rsidR="00BA26FD" w:rsidRDefault="00BA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FD" w:rsidRDefault="00BA26FD">
      <w:r>
        <w:separator/>
      </w:r>
    </w:p>
  </w:footnote>
  <w:footnote w:type="continuationSeparator" w:id="0">
    <w:p w:rsidR="00BA26FD" w:rsidRDefault="00BA2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C9" w:rsidRDefault="00FB2BC9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5112">
      <w:rPr>
        <w:rStyle w:val="a4"/>
        <w:noProof/>
      </w:rPr>
      <w:t>3</w:t>
    </w:r>
    <w:r>
      <w:rPr>
        <w:rStyle w:val="a4"/>
      </w:rPr>
      <w:fldChar w:fldCharType="end"/>
    </w:r>
  </w:p>
  <w:p w:rsidR="00FB2BC9" w:rsidRDefault="00FB2BC9">
    <w:pPr>
      <w:pStyle w:val="a3"/>
      <w:rPr>
        <w:sz w:val="20"/>
      </w:rPr>
    </w:pPr>
  </w:p>
  <w:p w:rsidR="00FB2BC9" w:rsidRPr="00D87B94" w:rsidRDefault="00FB2BC9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7741569"/>
    <w:multiLevelType w:val="multilevel"/>
    <w:tmpl w:val="D2A0D7C6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6F1802"/>
    <w:multiLevelType w:val="multilevel"/>
    <w:tmpl w:val="3536A4C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9"/>
  </w:num>
  <w:num w:numId="12">
    <w:abstractNumId w:val="1"/>
  </w:num>
  <w:num w:numId="13">
    <w:abstractNumId w:val="13"/>
  </w:num>
  <w:num w:numId="14">
    <w:abstractNumId w:val="8"/>
  </w:num>
  <w:num w:numId="15">
    <w:abstractNumId w:val="12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2478B"/>
    <w:rsid w:val="00030AAB"/>
    <w:rsid w:val="0003238D"/>
    <w:rsid w:val="000335F6"/>
    <w:rsid w:val="00054D70"/>
    <w:rsid w:val="00077C15"/>
    <w:rsid w:val="00082F13"/>
    <w:rsid w:val="00083679"/>
    <w:rsid w:val="000839CE"/>
    <w:rsid w:val="00084FAF"/>
    <w:rsid w:val="000A1320"/>
    <w:rsid w:val="000A5112"/>
    <w:rsid w:val="000A54E4"/>
    <w:rsid w:val="000B1042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15084"/>
    <w:rsid w:val="001331D8"/>
    <w:rsid w:val="0013675E"/>
    <w:rsid w:val="001414BD"/>
    <w:rsid w:val="00141F0D"/>
    <w:rsid w:val="00143952"/>
    <w:rsid w:val="00146EAD"/>
    <w:rsid w:val="00151DCF"/>
    <w:rsid w:val="0015616F"/>
    <w:rsid w:val="00162420"/>
    <w:rsid w:val="00162C96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336F"/>
    <w:rsid w:val="001C5093"/>
    <w:rsid w:val="001C6DC3"/>
    <w:rsid w:val="001D2F68"/>
    <w:rsid w:val="001D3D22"/>
    <w:rsid w:val="001D5D1C"/>
    <w:rsid w:val="001E181B"/>
    <w:rsid w:val="001E5F05"/>
    <w:rsid w:val="001E71BC"/>
    <w:rsid w:val="001E7670"/>
    <w:rsid w:val="001F3D30"/>
    <w:rsid w:val="001F65A1"/>
    <w:rsid w:val="002007DD"/>
    <w:rsid w:val="0020212C"/>
    <w:rsid w:val="00206249"/>
    <w:rsid w:val="00220677"/>
    <w:rsid w:val="00221D9B"/>
    <w:rsid w:val="00223C00"/>
    <w:rsid w:val="00225E60"/>
    <w:rsid w:val="002368D6"/>
    <w:rsid w:val="002400C9"/>
    <w:rsid w:val="002429FD"/>
    <w:rsid w:val="00253333"/>
    <w:rsid w:val="002544CD"/>
    <w:rsid w:val="00255421"/>
    <w:rsid w:val="00261F9C"/>
    <w:rsid w:val="00262C9C"/>
    <w:rsid w:val="00265263"/>
    <w:rsid w:val="00273A1A"/>
    <w:rsid w:val="00273A2F"/>
    <w:rsid w:val="002843C9"/>
    <w:rsid w:val="00294323"/>
    <w:rsid w:val="00296A42"/>
    <w:rsid w:val="002B0DB1"/>
    <w:rsid w:val="002C6146"/>
    <w:rsid w:val="002C7331"/>
    <w:rsid w:val="002E32CD"/>
    <w:rsid w:val="002F260C"/>
    <w:rsid w:val="00301D31"/>
    <w:rsid w:val="00304896"/>
    <w:rsid w:val="003073C6"/>
    <w:rsid w:val="003111E3"/>
    <w:rsid w:val="00313AF1"/>
    <w:rsid w:val="003257CA"/>
    <w:rsid w:val="003358B0"/>
    <w:rsid w:val="00341149"/>
    <w:rsid w:val="0034144D"/>
    <w:rsid w:val="00345375"/>
    <w:rsid w:val="00350493"/>
    <w:rsid w:val="00367B77"/>
    <w:rsid w:val="00372D24"/>
    <w:rsid w:val="00380482"/>
    <w:rsid w:val="003836A6"/>
    <w:rsid w:val="00391352"/>
    <w:rsid w:val="003A49A2"/>
    <w:rsid w:val="003D116B"/>
    <w:rsid w:val="003E1490"/>
    <w:rsid w:val="003F2C27"/>
    <w:rsid w:val="003F7130"/>
    <w:rsid w:val="0040085B"/>
    <w:rsid w:val="004119AA"/>
    <w:rsid w:val="00425E05"/>
    <w:rsid w:val="00426A0A"/>
    <w:rsid w:val="00427171"/>
    <w:rsid w:val="00427E97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6F8F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6EC4"/>
    <w:rsid w:val="005A00A5"/>
    <w:rsid w:val="005B5630"/>
    <w:rsid w:val="005C0550"/>
    <w:rsid w:val="005C0ED7"/>
    <w:rsid w:val="005C48F5"/>
    <w:rsid w:val="005C68F8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8E"/>
    <w:rsid w:val="00633516"/>
    <w:rsid w:val="00635307"/>
    <w:rsid w:val="0063541D"/>
    <w:rsid w:val="00637001"/>
    <w:rsid w:val="0064470F"/>
    <w:rsid w:val="00654D67"/>
    <w:rsid w:val="006611BA"/>
    <w:rsid w:val="00661E45"/>
    <w:rsid w:val="00663F08"/>
    <w:rsid w:val="00666183"/>
    <w:rsid w:val="00670171"/>
    <w:rsid w:val="00670E74"/>
    <w:rsid w:val="00673942"/>
    <w:rsid w:val="00681CA6"/>
    <w:rsid w:val="006854FF"/>
    <w:rsid w:val="00692DE4"/>
    <w:rsid w:val="006A4728"/>
    <w:rsid w:val="006B2ACD"/>
    <w:rsid w:val="006B438D"/>
    <w:rsid w:val="006C1249"/>
    <w:rsid w:val="006D0A7B"/>
    <w:rsid w:val="006D7F4C"/>
    <w:rsid w:val="006E6E1C"/>
    <w:rsid w:val="006F6979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85714"/>
    <w:rsid w:val="007909B2"/>
    <w:rsid w:val="007A331B"/>
    <w:rsid w:val="007A6C26"/>
    <w:rsid w:val="007A7190"/>
    <w:rsid w:val="007B01CF"/>
    <w:rsid w:val="007B754D"/>
    <w:rsid w:val="007C028D"/>
    <w:rsid w:val="007C25A1"/>
    <w:rsid w:val="007C6810"/>
    <w:rsid w:val="007C7451"/>
    <w:rsid w:val="007D081A"/>
    <w:rsid w:val="007D6344"/>
    <w:rsid w:val="007E0A26"/>
    <w:rsid w:val="007E23CB"/>
    <w:rsid w:val="007F486F"/>
    <w:rsid w:val="007F4D72"/>
    <w:rsid w:val="007F5B59"/>
    <w:rsid w:val="007F615B"/>
    <w:rsid w:val="008028E8"/>
    <w:rsid w:val="00804E13"/>
    <w:rsid w:val="008066BB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22D9"/>
    <w:rsid w:val="008748FC"/>
    <w:rsid w:val="00877299"/>
    <w:rsid w:val="00885E98"/>
    <w:rsid w:val="00886393"/>
    <w:rsid w:val="00887539"/>
    <w:rsid w:val="00890502"/>
    <w:rsid w:val="008930FD"/>
    <w:rsid w:val="008B35A0"/>
    <w:rsid w:val="008C3D89"/>
    <w:rsid w:val="008C7E10"/>
    <w:rsid w:val="008D4ECB"/>
    <w:rsid w:val="008D653D"/>
    <w:rsid w:val="008D7158"/>
    <w:rsid w:val="008E2C38"/>
    <w:rsid w:val="008E3CEA"/>
    <w:rsid w:val="008E4FB9"/>
    <w:rsid w:val="008F635D"/>
    <w:rsid w:val="009127B3"/>
    <w:rsid w:val="0093047A"/>
    <w:rsid w:val="00930AD5"/>
    <w:rsid w:val="00930D98"/>
    <w:rsid w:val="00936C7A"/>
    <w:rsid w:val="00960DF3"/>
    <w:rsid w:val="00975F72"/>
    <w:rsid w:val="00984909"/>
    <w:rsid w:val="009856BB"/>
    <w:rsid w:val="00996539"/>
    <w:rsid w:val="009A03AB"/>
    <w:rsid w:val="009A071B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53A1F"/>
    <w:rsid w:val="00A5760F"/>
    <w:rsid w:val="00A62353"/>
    <w:rsid w:val="00A62EF8"/>
    <w:rsid w:val="00A64726"/>
    <w:rsid w:val="00A7202E"/>
    <w:rsid w:val="00A8187A"/>
    <w:rsid w:val="00A9645C"/>
    <w:rsid w:val="00AA1F8E"/>
    <w:rsid w:val="00AA4720"/>
    <w:rsid w:val="00AB1CBC"/>
    <w:rsid w:val="00AC6799"/>
    <w:rsid w:val="00AD4EA1"/>
    <w:rsid w:val="00AE1C2C"/>
    <w:rsid w:val="00AE6B92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2FB6"/>
    <w:rsid w:val="00B37802"/>
    <w:rsid w:val="00B4070F"/>
    <w:rsid w:val="00B47B35"/>
    <w:rsid w:val="00B534D6"/>
    <w:rsid w:val="00B540A7"/>
    <w:rsid w:val="00B57E66"/>
    <w:rsid w:val="00B603ED"/>
    <w:rsid w:val="00B60F15"/>
    <w:rsid w:val="00B6287A"/>
    <w:rsid w:val="00B67E31"/>
    <w:rsid w:val="00B70FB3"/>
    <w:rsid w:val="00B80D43"/>
    <w:rsid w:val="00B810B6"/>
    <w:rsid w:val="00B81C47"/>
    <w:rsid w:val="00B87211"/>
    <w:rsid w:val="00B87B8A"/>
    <w:rsid w:val="00B9150A"/>
    <w:rsid w:val="00B92FC0"/>
    <w:rsid w:val="00BA26FD"/>
    <w:rsid w:val="00BA7A5A"/>
    <w:rsid w:val="00BB2FDE"/>
    <w:rsid w:val="00BB58A0"/>
    <w:rsid w:val="00BC0F9B"/>
    <w:rsid w:val="00BC2E80"/>
    <w:rsid w:val="00BC5867"/>
    <w:rsid w:val="00BD3C37"/>
    <w:rsid w:val="00BE061A"/>
    <w:rsid w:val="00BE5AFF"/>
    <w:rsid w:val="00BF6EB1"/>
    <w:rsid w:val="00C07D90"/>
    <w:rsid w:val="00C175BE"/>
    <w:rsid w:val="00C2250B"/>
    <w:rsid w:val="00C265FB"/>
    <w:rsid w:val="00C30C37"/>
    <w:rsid w:val="00C519D0"/>
    <w:rsid w:val="00C53F5F"/>
    <w:rsid w:val="00C61BC8"/>
    <w:rsid w:val="00C659EC"/>
    <w:rsid w:val="00C662BB"/>
    <w:rsid w:val="00C66D00"/>
    <w:rsid w:val="00C73F98"/>
    <w:rsid w:val="00C90918"/>
    <w:rsid w:val="00C9367E"/>
    <w:rsid w:val="00C944D4"/>
    <w:rsid w:val="00C94BE8"/>
    <w:rsid w:val="00CA0961"/>
    <w:rsid w:val="00CC07EA"/>
    <w:rsid w:val="00CC27FF"/>
    <w:rsid w:val="00CC3288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474F5"/>
    <w:rsid w:val="00D50309"/>
    <w:rsid w:val="00D73A9A"/>
    <w:rsid w:val="00D87B94"/>
    <w:rsid w:val="00D969D5"/>
    <w:rsid w:val="00DB2760"/>
    <w:rsid w:val="00DB63AF"/>
    <w:rsid w:val="00DB6B46"/>
    <w:rsid w:val="00DD5782"/>
    <w:rsid w:val="00DD5F6E"/>
    <w:rsid w:val="00DE572F"/>
    <w:rsid w:val="00DE75F2"/>
    <w:rsid w:val="00DE7F40"/>
    <w:rsid w:val="00DF5A52"/>
    <w:rsid w:val="00E12C3C"/>
    <w:rsid w:val="00E139F3"/>
    <w:rsid w:val="00E1716F"/>
    <w:rsid w:val="00E17500"/>
    <w:rsid w:val="00E21B2E"/>
    <w:rsid w:val="00E23C83"/>
    <w:rsid w:val="00E42982"/>
    <w:rsid w:val="00E462CD"/>
    <w:rsid w:val="00E47CAE"/>
    <w:rsid w:val="00E538E3"/>
    <w:rsid w:val="00E559D4"/>
    <w:rsid w:val="00E562A0"/>
    <w:rsid w:val="00E62B1A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F68"/>
    <w:rsid w:val="00EA3CF7"/>
    <w:rsid w:val="00EA676C"/>
    <w:rsid w:val="00EA6DC0"/>
    <w:rsid w:val="00EA7A58"/>
    <w:rsid w:val="00EB2A9B"/>
    <w:rsid w:val="00EB45F2"/>
    <w:rsid w:val="00EC2A0C"/>
    <w:rsid w:val="00EC2F5B"/>
    <w:rsid w:val="00EC7DE3"/>
    <w:rsid w:val="00ED2C29"/>
    <w:rsid w:val="00ED3ED5"/>
    <w:rsid w:val="00ED65B2"/>
    <w:rsid w:val="00ED786D"/>
    <w:rsid w:val="00EE6155"/>
    <w:rsid w:val="00EE6CA4"/>
    <w:rsid w:val="00EE7354"/>
    <w:rsid w:val="00EF02A3"/>
    <w:rsid w:val="00EF3846"/>
    <w:rsid w:val="00EF38F0"/>
    <w:rsid w:val="00EF4918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409A"/>
    <w:rsid w:val="00F45064"/>
    <w:rsid w:val="00F45D9F"/>
    <w:rsid w:val="00F464DA"/>
    <w:rsid w:val="00F47B1A"/>
    <w:rsid w:val="00F60C08"/>
    <w:rsid w:val="00F657CE"/>
    <w:rsid w:val="00F65B6A"/>
    <w:rsid w:val="00F7605E"/>
    <w:rsid w:val="00F84826"/>
    <w:rsid w:val="00F84E62"/>
    <w:rsid w:val="00F87908"/>
    <w:rsid w:val="00F951CB"/>
    <w:rsid w:val="00FA03E5"/>
    <w:rsid w:val="00FB1116"/>
    <w:rsid w:val="00FB2BC9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PBM ART"/>
    <w:basedOn w:val="a"/>
    <w:link w:val="ae"/>
    <w:uiPriority w:val="99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d"/>
    <w:uiPriority w:val="99"/>
    <w:qFormat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PBM ART"/>
    <w:basedOn w:val="a"/>
    <w:link w:val="ae"/>
    <w:uiPriority w:val="99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d"/>
    <w:uiPriority w:val="99"/>
    <w:qFormat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0C1F3-EDB4-4824-A9C7-B0CD8508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2020-08-13T05:20:00Z</cp:lastPrinted>
  <dcterms:created xsi:type="dcterms:W3CDTF">2020-08-14T06:46:00Z</dcterms:created>
  <dcterms:modified xsi:type="dcterms:W3CDTF">2020-08-14T06:46:00Z</dcterms:modified>
</cp:coreProperties>
</file>