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55F2B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6057C3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 xml:space="preserve">06  </w:t>
      </w:r>
      <w:r w:rsidR="0091502F">
        <w:rPr>
          <w:bCs/>
        </w:rPr>
        <w:t>серпня</w:t>
      </w:r>
      <w:r w:rsidR="00AD4E5D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1C7125">
        <w:t>491-р</w:t>
      </w:r>
    </w:p>
    <w:p w:rsidR="00616B1C" w:rsidRPr="00917471" w:rsidRDefault="00616B1C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676414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2F609A">
        <w:t>ого</w:t>
      </w:r>
      <w:r w:rsidR="008E5CD9" w:rsidRPr="006A4F14">
        <w:t xml:space="preserve"> представник</w:t>
      </w:r>
      <w:r w:rsidR="002F609A">
        <w:t>а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91502F">
        <w:t>компанії «</w:t>
      </w:r>
      <w:proofErr w:type="spellStart"/>
      <w:r w:rsidR="0091502F" w:rsidRPr="00210E12">
        <w:t>International</w:t>
      </w:r>
      <w:proofErr w:type="spellEnd"/>
      <w:r w:rsidR="0091502F" w:rsidRPr="00210E12">
        <w:t xml:space="preserve"> </w:t>
      </w:r>
      <w:proofErr w:type="spellStart"/>
      <w:r w:rsidR="0091502F" w:rsidRPr="00210E12">
        <w:t>Flavors</w:t>
      </w:r>
      <w:proofErr w:type="spellEnd"/>
      <w:r w:rsidR="0091502F" w:rsidRPr="00210E12">
        <w:t xml:space="preserve"> &amp; </w:t>
      </w:r>
      <w:proofErr w:type="spellStart"/>
      <w:r w:rsidR="0091502F" w:rsidRPr="00210E12">
        <w:t>Fragrances</w:t>
      </w:r>
      <w:proofErr w:type="spellEnd"/>
      <w:r w:rsidR="0091502F" w:rsidRPr="00210E12">
        <w:t xml:space="preserve"> </w:t>
      </w:r>
      <w:proofErr w:type="spellStart"/>
      <w:r w:rsidR="0091502F" w:rsidRPr="00210E12">
        <w:t>Inc</w:t>
      </w:r>
      <w:proofErr w:type="spellEnd"/>
      <w:r w:rsidR="0091502F" w:rsidRPr="00210E12">
        <w:t>.</w:t>
      </w:r>
      <w:r w:rsidR="0091502F">
        <w:t>» (</w:t>
      </w:r>
      <w:r w:rsidR="0091502F" w:rsidRPr="00550301">
        <w:t>м. Нью-Йорк, штат Нью-Йорк, США)</w:t>
      </w:r>
      <w:r w:rsidR="0091502F">
        <w:t xml:space="preserve"> (далі –</w:t>
      </w:r>
      <w:r w:rsidR="0091502F" w:rsidRPr="004A36E4">
        <w:rPr>
          <w:lang w:val="ru-RU"/>
        </w:rPr>
        <w:t xml:space="preserve">  </w:t>
      </w:r>
      <w:r w:rsidR="0091502F">
        <w:t>компанія «</w:t>
      </w:r>
      <w:r w:rsidR="0091502F">
        <w:rPr>
          <w:lang w:val="en-US"/>
        </w:rPr>
        <w:t>IFF</w:t>
      </w:r>
      <w:r w:rsidR="0091502F">
        <w:t>»</w:t>
      </w:r>
      <w:r w:rsidR="0091502F" w:rsidRPr="008972DC">
        <w:t xml:space="preserve">)  </w:t>
      </w:r>
      <w:r w:rsidR="0091502F">
        <w:t xml:space="preserve">на </w:t>
      </w:r>
      <w:r w:rsidR="0091502F" w:rsidRPr="00210E12">
        <w:t xml:space="preserve">набуття </w:t>
      </w:r>
      <w:r w:rsidR="0091502F" w:rsidRPr="0091502F">
        <w:t>[</w:t>
      </w:r>
      <w:r w:rsidR="0091502F">
        <w:t xml:space="preserve">опосередковано через </w:t>
      </w:r>
      <w:r w:rsidR="0091502F" w:rsidRPr="004A36E4">
        <w:t>компанію «</w:t>
      </w:r>
      <w:proofErr w:type="spellStart"/>
      <w:r w:rsidR="0091502F" w:rsidRPr="004A36E4">
        <w:t>Neptune</w:t>
      </w:r>
      <w:proofErr w:type="spellEnd"/>
      <w:r w:rsidR="0091502F" w:rsidRPr="004A36E4">
        <w:t xml:space="preserve"> </w:t>
      </w:r>
      <w:proofErr w:type="spellStart"/>
      <w:r w:rsidR="0091502F" w:rsidRPr="004A36E4">
        <w:t>Merger</w:t>
      </w:r>
      <w:proofErr w:type="spellEnd"/>
      <w:r w:rsidR="0091502F" w:rsidRPr="004A36E4">
        <w:t xml:space="preserve"> </w:t>
      </w:r>
      <w:proofErr w:type="spellStart"/>
      <w:r w:rsidR="0091502F" w:rsidRPr="004A36E4">
        <w:t>Sub</w:t>
      </w:r>
      <w:proofErr w:type="spellEnd"/>
      <w:r w:rsidR="0091502F" w:rsidRPr="004A36E4">
        <w:t xml:space="preserve"> I </w:t>
      </w:r>
      <w:proofErr w:type="spellStart"/>
      <w:r w:rsidR="0091502F" w:rsidRPr="004A36E4">
        <w:t>Inc</w:t>
      </w:r>
      <w:proofErr w:type="spellEnd"/>
      <w:r w:rsidR="0091502F" w:rsidRPr="004A36E4">
        <w:t xml:space="preserve">.» (штат </w:t>
      </w:r>
      <w:proofErr w:type="spellStart"/>
      <w:r w:rsidR="0091502F" w:rsidRPr="004A36E4">
        <w:t>Делавер</w:t>
      </w:r>
      <w:proofErr w:type="spellEnd"/>
      <w:r w:rsidR="0091502F" w:rsidRPr="004A36E4">
        <w:t>, США)</w:t>
      </w:r>
      <w:r w:rsidR="0091502F">
        <w:t xml:space="preserve"> (далі – «</w:t>
      </w:r>
      <w:proofErr w:type="spellStart"/>
      <w:r w:rsidR="0091502F" w:rsidRPr="008972DC">
        <w:t>Merger</w:t>
      </w:r>
      <w:proofErr w:type="spellEnd"/>
      <w:r w:rsidR="0091502F" w:rsidRPr="008972DC">
        <w:t xml:space="preserve"> Sub I</w:t>
      </w:r>
      <w:r w:rsidR="0091502F">
        <w:t>»</w:t>
      </w:r>
      <w:r w:rsidR="0091502F" w:rsidRPr="008972DC">
        <w:t>)</w:t>
      </w:r>
      <w:r w:rsidR="0091502F" w:rsidRPr="0091502F">
        <w:t>]</w:t>
      </w:r>
      <w:r w:rsidR="0091502F">
        <w:t xml:space="preserve"> </w:t>
      </w:r>
      <w:r w:rsidR="0091502F" w:rsidRPr="00210E12">
        <w:t xml:space="preserve">контролю над компанією </w:t>
      </w:r>
      <w:r w:rsidR="0091502F">
        <w:t>«</w:t>
      </w:r>
      <w:proofErr w:type="spellStart"/>
      <w:r w:rsidR="0091502F" w:rsidRPr="00210E12">
        <w:t>Nutrition</w:t>
      </w:r>
      <w:proofErr w:type="spellEnd"/>
      <w:r w:rsidR="0091502F" w:rsidRPr="00210E12">
        <w:t xml:space="preserve"> &amp; </w:t>
      </w:r>
      <w:proofErr w:type="spellStart"/>
      <w:r w:rsidR="0091502F" w:rsidRPr="00210E12">
        <w:t>Biosciences</w:t>
      </w:r>
      <w:proofErr w:type="spellEnd"/>
      <w:r w:rsidR="0091502F" w:rsidRPr="00210E12">
        <w:t xml:space="preserve">, </w:t>
      </w:r>
      <w:proofErr w:type="spellStart"/>
      <w:r w:rsidR="0091502F" w:rsidRPr="00210E12">
        <w:t>Inc</w:t>
      </w:r>
      <w:proofErr w:type="spellEnd"/>
      <w:r w:rsidR="0091502F" w:rsidRPr="00210E12">
        <w:t>.</w:t>
      </w:r>
      <w:r w:rsidR="0091502F">
        <w:t>»</w:t>
      </w:r>
      <w:r w:rsidR="0091502F" w:rsidRPr="00210E12">
        <w:t xml:space="preserve"> (</w:t>
      </w:r>
      <w:r w:rsidR="0091502F" w:rsidRPr="00FB125B">
        <w:t xml:space="preserve">м. </w:t>
      </w:r>
      <w:proofErr w:type="spellStart"/>
      <w:r w:rsidR="0091502F" w:rsidRPr="0091502F">
        <w:t>Вілмінгтон</w:t>
      </w:r>
      <w:proofErr w:type="spellEnd"/>
      <w:r w:rsidR="0091502F" w:rsidRPr="0091502F">
        <w:t xml:space="preserve">, </w:t>
      </w:r>
      <w:r w:rsidR="0091502F" w:rsidRPr="00210E12">
        <w:t xml:space="preserve">штат </w:t>
      </w:r>
      <w:proofErr w:type="spellStart"/>
      <w:r w:rsidR="0091502F" w:rsidRPr="00210E12">
        <w:t>Делавер</w:t>
      </w:r>
      <w:proofErr w:type="spellEnd"/>
      <w:r w:rsidR="0091502F" w:rsidRPr="00210E12">
        <w:t>, США)</w:t>
      </w:r>
      <w:r w:rsidR="0091502F" w:rsidRPr="009D1E09">
        <w:t xml:space="preserve"> (далі – </w:t>
      </w:r>
      <w:r w:rsidR="0091502F">
        <w:t>компанія «</w:t>
      </w:r>
      <w:proofErr w:type="spellStart"/>
      <w:r w:rsidR="0091502F">
        <w:t>SpinCo</w:t>
      </w:r>
      <w:proofErr w:type="spellEnd"/>
      <w:r w:rsidR="0091502F">
        <w:t>»</w:t>
      </w:r>
      <w:r w:rsidR="0091502F" w:rsidRPr="009D1E09">
        <w:t>)</w:t>
      </w:r>
      <w:r w:rsidR="00676414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044BD7" w:rsidRDefault="0091502F" w:rsidP="0034592E">
      <w:pPr>
        <w:ind w:firstLine="709"/>
        <w:jc w:val="both"/>
      </w:pPr>
      <w:r>
        <w:t>Концентрація полягає у набутті компанією «</w:t>
      </w:r>
      <w:r>
        <w:rPr>
          <w:lang w:val="en-US"/>
        </w:rPr>
        <w:t>IFF</w:t>
      </w:r>
      <w:r>
        <w:t xml:space="preserve">» контролю над </w:t>
      </w:r>
      <w:r w:rsidRPr="006F65CC">
        <w:t>Бізнес</w:t>
      </w:r>
      <w:r>
        <w:t>ом</w:t>
      </w:r>
      <w:r w:rsidRPr="006F65CC">
        <w:t xml:space="preserve"> Харчування та Біологічних наук</w:t>
      </w:r>
      <w:r>
        <w:t>, що належить компанії «</w:t>
      </w:r>
      <w:proofErr w:type="spellStart"/>
      <w:r w:rsidRPr="006F65CC">
        <w:t>DuPont</w:t>
      </w:r>
      <w:proofErr w:type="spellEnd"/>
      <w:r w:rsidRPr="004E6995">
        <w:t xml:space="preserve"> </w:t>
      </w:r>
      <w:proofErr w:type="spellStart"/>
      <w:r w:rsidRPr="004E6995">
        <w:t>de</w:t>
      </w:r>
      <w:proofErr w:type="spellEnd"/>
      <w:r w:rsidRPr="004E6995">
        <w:t xml:space="preserve"> </w:t>
      </w:r>
      <w:proofErr w:type="spellStart"/>
      <w:r w:rsidRPr="004E6995">
        <w:t>Nemours</w:t>
      </w:r>
      <w:proofErr w:type="spellEnd"/>
      <w:r w:rsidRPr="004E6995">
        <w:t xml:space="preserve">, </w:t>
      </w:r>
      <w:proofErr w:type="spellStart"/>
      <w:r w:rsidRPr="004E6995">
        <w:t>Inc</w:t>
      </w:r>
      <w:proofErr w:type="spellEnd"/>
      <w:r w:rsidRPr="004E6995">
        <w:t>.</w:t>
      </w:r>
      <w:r>
        <w:t>»</w:t>
      </w:r>
      <w:r w:rsidRPr="004E6995">
        <w:t xml:space="preserve"> (м. </w:t>
      </w:r>
      <w:proofErr w:type="spellStart"/>
      <w:r w:rsidRPr="004E6995">
        <w:t>Вілмінгтон</w:t>
      </w:r>
      <w:proofErr w:type="spellEnd"/>
      <w:r w:rsidRPr="004E6995">
        <w:t xml:space="preserve">, штат </w:t>
      </w:r>
      <w:proofErr w:type="spellStart"/>
      <w:r w:rsidRPr="004E6995">
        <w:t>Делавер</w:t>
      </w:r>
      <w:proofErr w:type="spellEnd"/>
      <w:r w:rsidRPr="004E6995">
        <w:t xml:space="preserve">, США) (далі – компанія </w:t>
      </w:r>
      <w:r>
        <w:t>«</w:t>
      </w:r>
      <w:proofErr w:type="spellStart"/>
      <w:r w:rsidRPr="006F65CC">
        <w:t>DuPont</w:t>
      </w:r>
      <w:proofErr w:type="spellEnd"/>
      <w:r>
        <w:t>»).</w:t>
      </w:r>
    </w:p>
    <w:p w:rsidR="0091502F" w:rsidRPr="00136EF4" w:rsidRDefault="0091502F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91502F" w:rsidRDefault="0091502F" w:rsidP="0091502F">
      <w:pPr>
        <w:ind w:firstLine="720"/>
        <w:jc w:val="both"/>
      </w:pPr>
      <w:r>
        <w:t>компанія</w:t>
      </w:r>
      <w:r w:rsidRPr="006F65CC">
        <w:t xml:space="preserve"> </w:t>
      </w:r>
      <w:r>
        <w:t>«</w:t>
      </w:r>
      <w:proofErr w:type="spellStart"/>
      <w:r w:rsidRPr="006F65CC">
        <w:t>SpinCo</w:t>
      </w:r>
      <w:proofErr w:type="spellEnd"/>
      <w:r>
        <w:t>» є компанією, створеною з метою здійснення заявлен</w:t>
      </w:r>
      <w:r w:rsidR="0082713F">
        <w:t>ої транс</w:t>
      </w:r>
      <w:r>
        <w:t>акції. До здійснення концентрації компанія</w:t>
      </w:r>
      <w:r w:rsidRPr="006F65CC">
        <w:t xml:space="preserve"> </w:t>
      </w:r>
      <w:r>
        <w:t>«</w:t>
      </w:r>
      <w:proofErr w:type="spellStart"/>
      <w:r w:rsidRPr="006F65CC">
        <w:t>DuPont</w:t>
      </w:r>
      <w:proofErr w:type="spellEnd"/>
      <w:r>
        <w:t>»</w:t>
      </w:r>
      <w:r w:rsidRPr="00FB125B">
        <w:t xml:space="preserve"> </w:t>
      </w:r>
      <w:r>
        <w:t xml:space="preserve">планує передати </w:t>
      </w:r>
      <w:r w:rsidRPr="006F65CC">
        <w:t>Бізнес Харчування та Біологічних наук</w:t>
      </w:r>
      <w:r>
        <w:t xml:space="preserve"> компанії «</w:t>
      </w:r>
      <w:proofErr w:type="spellStart"/>
      <w:r w:rsidRPr="006F65CC">
        <w:t>SpinCo</w:t>
      </w:r>
      <w:proofErr w:type="spellEnd"/>
      <w:r>
        <w:t>»;</w:t>
      </w:r>
    </w:p>
    <w:p w:rsidR="0091502F" w:rsidRDefault="0091502F" w:rsidP="0091502F">
      <w:pPr>
        <w:ind w:firstLine="720"/>
        <w:jc w:val="both"/>
      </w:pPr>
      <w:r w:rsidRPr="004E6995">
        <w:t xml:space="preserve">компанія </w:t>
      </w:r>
      <w:r>
        <w:t>«</w:t>
      </w:r>
      <w:proofErr w:type="spellStart"/>
      <w:r w:rsidRPr="006F65CC">
        <w:t>DuPont</w:t>
      </w:r>
      <w:proofErr w:type="spellEnd"/>
      <w:r>
        <w:t xml:space="preserve">» не здійснює господарської діяльності на території України та є материнською компанією для суб’єктів господарювання, що утворюють Групу </w:t>
      </w:r>
      <w:proofErr w:type="spellStart"/>
      <w:r w:rsidRPr="006F65CC">
        <w:t>DuPont</w:t>
      </w:r>
      <w:proofErr w:type="spellEnd"/>
      <w:r>
        <w:t xml:space="preserve">               (далі – Група </w:t>
      </w:r>
      <w:proofErr w:type="spellStart"/>
      <w:r w:rsidRPr="006F65CC">
        <w:t>DuPont</w:t>
      </w:r>
      <w:proofErr w:type="spellEnd"/>
      <w:r>
        <w:t>). Акції компанії «</w:t>
      </w:r>
      <w:proofErr w:type="spellStart"/>
      <w:r w:rsidRPr="006F65CC">
        <w:t>DuPont</w:t>
      </w:r>
      <w:proofErr w:type="spellEnd"/>
      <w:r>
        <w:t>» котируються на Нью-Йоркській фондовій біржі;</w:t>
      </w:r>
    </w:p>
    <w:p w:rsidR="0091502F" w:rsidRDefault="0091502F" w:rsidP="0091502F">
      <w:pPr>
        <w:ind w:firstLine="720"/>
        <w:jc w:val="both"/>
      </w:pPr>
      <w:r>
        <w:t xml:space="preserve">Група </w:t>
      </w:r>
      <w:proofErr w:type="spellStart"/>
      <w:r w:rsidRPr="006F65CC">
        <w:t>DuPont</w:t>
      </w:r>
      <w:proofErr w:type="spellEnd"/>
      <w:r w:rsidRPr="004E6995">
        <w:t xml:space="preserve"> спеціалізується на технологічних матеріалах, інгредієнтах та рішеннях, пропонуючи широкий асортимент продукції для чотирьох видів бізнесу: Електроніка та Візуалізація, Харчування та Біологічні Науки, Безпека та Будівництво, Транспортування та Складні полімери</w:t>
      </w:r>
      <w:r w:rsidR="0082713F">
        <w:t>;</w:t>
      </w:r>
    </w:p>
    <w:p w:rsidR="0091502F" w:rsidRDefault="0091502F" w:rsidP="0091502F">
      <w:pPr>
        <w:ind w:firstLine="720"/>
        <w:jc w:val="both"/>
      </w:pPr>
      <w:r>
        <w:t xml:space="preserve">на території України Група </w:t>
      </w:r>
      <w:proofErr w:type="spellStart"/>
      <w:r w:rsidRPr="006F65CC">
        <w:t>DuPont</w:t>
      </w:r>
      <w:proofErr w:type="spellEnd"/>
      <w:r w:rsidRPr="006F65CC">
        <w:t xml:space="preserve"> </w:t>
      </w:r>
      <w:r>
        <w:t xml:space="preserve">здійснює діяльність лише через </w:t>
      </w:r>
      <w:r w:rsidRPr="006F65CC">
        <w:t>Бізнес Харчування та Біологічних наук</w:t>
      </w:r>
      <w:r>
        <w:t xml:space="preserve"> із реалізації: інгредієнтів для харчових продуктів: культур (в основному для молока, та </w:t>
      </w:r>
      <w:r w:rsidR="0082713F">
        <w:t>в</w:t>
      </w:r>
      <w:r>
        <w:t xml:space="preserve"> незначних обсягах – для м’яса), а</w:t>
      </w:r>
      <w:r w:rsidRPr="00AE3BE3">
        <w:t>нтиоксидантів</w:t>
      </w:r>
      <w:r>
        <w:t xml:space="preserve"> (натуральних та синтетичних), </w:t>
      </w:r>
      <w:proofErr w:type="spellStart"/>
      <w:r>
        <w:t>карагенану</w:t>
      </w:r>
      <w:proofErr w:type="spellEnd"/>
      <w:r>
        <w:t xml:space="preserve">, </w:t>
      </w:r>
      <w:r w:rsidRPr="00AE3BE3">
        <w:t>систем (</w:t>
      </w:r>
      <w:r>
        <w:t xml:space="preserve">з акцентом на функціональні компоненти), </w:t>
      </w:r>
      <w:r w:rsidRPr="00AE3BE3">
        <w:t>косметичних інгредієнтів</w:t>
      </w:r>
      <w:r>
        <w:t xml:space="preserve">, </w:t>
      </w:r>
      <w:r w:rsidRPr="00AE3BE3">
        <w:t>емульгаторів</w:t>
      </w:r>
      <w:r>
        <w:t xml:space="preserve">, </w:t>
      </w:r>
      <w:proofErr w:type="spellStart"/>
      <w:r w:rsidRPr="00AE3BE3">
        <w:t>біорафінування</w:t>
      </w:r>
      <w:proofErr w:type="spellEnd"/>
      <w:r>
        <w:t xml:space="preserve">, </w:t>
      </w:r>
      <w:r w:rsidRPr="00AE3BE3">
        <w:t>пектину</w:t>
      </w:r>
      <w:r>
        <w:t xml:space="preserve">, </w:t>
      </w:r>
      <w:r w:rsidRPr="00AE3BE3">
        <w:t>рослинних білків</w:t>
      </w:r>
      <w:r>
        <w:t xml:space="preserve">, </w:t>
      </w:r>
      <w:r w:rsidRPr="00AE3BE3">
        <w:t>фармацевтичних рішень</w:t>
      </w:r>
      <w:r>
        <w:t xml:space="preserve">, </w:t>
      </w:r>
      <w:proofErr w:type="spellStart"/>
      <w:r w:rsidRPr="00AE3BE3">
        <w:t>пробіотиків</w:t>
      </w:r>
      <w:proofErr w:type="spellEnd"/>
      <w:r>
        <w:t xml:space="preserve">, </w:t>
      </w:r>
      <w:r w:rsidRPr="00AE3BE3">
        <w:t>засобів мікробіологічного контролю</w:t>
      </w:r>
      <w:r>
        <w:t>;</w:t>
      </w:r>
    </w:p>
    <w:p w:rsidR="0091502F" w:rsidRDefault="0091502F" w:rsidP="0091502F">
      <w:pPr>
        <w:ind w:firstLine="720"/>
        <w:jc w:val="both"/>
      </w:pPr>
      <w:r>
        <w:t>після здійснення концентрації відносини контролю компанії «</w:t>
      </w:r>
      <w:proofErr w:type="spellStart"/>
      <w:r w:rsidRPr="006F65CC">
        <w:t>SpinCo</w:t>
      </w:r>
      <w:proofErr w:type="spellEnd"/>
      <w:r>
        <w:t>» з компанією «</w:t>
      </w:r>
      <w:proofErr w:type="spellStart"/>
      <w:r w:rsidRPr="006F65CC">
        <w:t>DuPont</w:t>
      </w:r>
      <w:proofErr w:type="spellEnd"/>
      <w:r>
        <w:t xml:space="preserve">» будуть припинені; </w:t>
      </w:r>
    </w:p>
    <w:p w:rsidR="00AD4E5D" w:rsidRPr="00DF514F" w:rsidRDefault="00AD4E5D" w:rsidP="00AD4E5D">
      <w:pPr>
        <w:ind w:firstLine="720"/>
        <w:jc w:val="both"/>
        <w:rPr>
          <w:sz w:val="18"/>
          <w:szCs w:val="18"/>
        </w:rPr>
      </w:pPr>
    </w:p>
    <w:p w:rsidR="0091502F" w:rsidRDefault="0091502F" w:rsidP="0091502F">
      <w:pPr>
        <w:ind w:firstLine="709"/>
        <w:jc w:val="both"/>
      </w:pPr>
      <w:r>
        <w:t>компанія «</w:t>
      </w:r>
      <w:r w:rsidRPr="009F51EF">
        <w:t>IFF</w:t>
      </w:r>
      <w:r>
        <w:t>» не здійснює господарської діяльності на території України та є материнською компанією для компанії «</w:t>
      </w:r>
      <w:proofErr w:type="spellStart"/>
      <w:r w:rsidRPr="008972DC">
        <w:t>Merger</w:t>
      </w:r>
      <w:proofErr w:type="spellEnd"/>
      <w:r w:rsidRPr="008972DC">
        <w:t xml:space="preserve"> Sub I</w:t>
      </w:r>
      <w:r>
        <w:t>» (яка не здійснює господарської діяльності на території України) та інших суб’єктів господарювання – резидентів та нерезидентів України, що утворюють Групу</w:t>
      </w:r>
      <w:r w:rsidRPr="009F51EF">
        <w:t xml:space="preserve"> IFF</w:t>
      </w:r>
      <w:r>
        <w:t xml:space="preserve"> (далі – Група </w:t>
      </w:r>
      <w:r w:rsidRPr="009F51EF">
        <w:t>IFF</w:t>
      </w:r>
      <w:r>
        <w:t xml:space="preserve">). </w:t>
      </w:r>
      <w:r w:rsidRPr="009F51EF">
        <w:t xml:space="preserve">Акції </w:t>
      </w:r>
      <w:r>
        <w:t>компанії «</w:t>
      </w:r>
      <w:r w:rsidRPr="009F51EF">
        <w:t>IFF</w:t>
      </w:r>
      <w:r>
        <w:t>»</w:t>
      </w:r>
      <w:r w:rsidRPr="009F51EF">
        <w:t xml:space="preserve"> </w:t>
      </w:r>
      <w:r w:rsidRPr="009F51EF">
        <w:lastRenderedPageBreak/>
        <w:t>розміщені на Нью-Йоркській фондовій біржі, Тель-Авівській фондовій бір</w:t>
      </w:r>
      <w:r>
        <w:t>жі, а також на фондовій біржі «</w:t>
      </w:r>
      <w:proofErr w:type="spellStart"/>
      <w:r w:rsidRPr="009F51EF">
        <w:t>Euronext</w:t>
      </w:r>
      <w:proofErr w:type="spellEnd"/>
      <w:r w:rsidRPr="009F51EF">
        <w:t xml:space="preserve"> </w:t>
      </w:r>
      <w:proofErr w:type="spellStart"/>
      <w:r w:rsidRPr="009F51EF">
        <w:t>Paris</w:t>
      </w:r>
      <w:proofErr w:type="spellEnd"/>
      <w:r>
        <w:t>»;</w:t>
      </w:r>
    </w:p>
    <w:p w:rsidR="0091502F" w:rsidRDefault="0082713F" w:rsidP="0091502F">
      <w:pPr>
        <w:ind w:firstLine="709"/>
        <w:jc w:val="both"/>
      </w:pPr>
      <w:r>
        <w:t>на світовому рівні</w:t>
      </w:r>
      <w:r w:rsidR="0091502F" w:rsidRPr="009F51EF">
        <w:t xml:space="preserve"> Група IFF здійснює діяльність </w:t>
      </w:r>
      <w:r w:rsidR="0091502F">
        <w:t>і</w:t>
      </w:r>
      <w:r w:rsidR="0091502F" w:rsidRPr="009F51EF">
        <w:t xml:space="preserve">з розробки, створення </w:t>
      </w:r>
      <w:r>
        <w:t>й</w:t>
      </w:r>
      <w:r w:rsidR="0091502F" w:rsidRPr="009F51EF">
        <w:t xml:space="preserve"> реалізації ароматизаторів </w:t>
      </w:r>
      <w:r>
        <w:t>та</w:t>
      </w:r>
      <w:r w:rsidR="0091502F" w:rsidRPr="009F51EF">
        <w:t xml:space="preserve"> ароматични</w:t>
      </w:r>
      <w:r>
        <w:t>х сполук, які використовуються в</w:t>
      </w:r>
      <w:r w:rsidR="0091502F" w:rsidRPr="009F51EF">
        <w:t xml:space="preserve"> галузях споживчих товарів (таких як продукти харчування та напої, засоби особистої гігієни чи товари побутової хімії)</w:t>
      </w:r>
      <w:r w:rsidR="0091502F">
        <w:t>;</w:t>
      </w:r>
    </w:p>
    <w:p w:rsidR="0091502F" w:rsidRDefault="0091502F" w:rsidP="0091502F">
      <w:pPr>
        <w:ind w:firstLine="709"/>
        <w:jc w:val="both"/>
      </w:pPr>
      <w:r>
        <w:t xml:space="preserve">на території України </w:t>
      </w:r>
      <w:r w:rsidRPr="009F51EF">
        <w:t>Група IFF здійснює діяльність</w:t>
      </w:r>
      <w:r>
        <w:t xml:space="preserve"> із </w:t>
      </w:r>
      <w:r w:rsidRPr="003B6D80">
        <w:t>продаж</w:t>
      </w:r>
      <w:r>
        <w:t>у</w:t>
      </w:r>
      <w:r w:rsidRPr="003B6D80">
        <w:t xml:space="preserve"> ароматизаторів та ароматів (споживчі ароматизатори для догляду за тканинами, аромати для дому та особистої гігієни, догляду за волоссям та гігієнічної косметики)</w:t>
      </w:r>
      <w:r>
        <w:t xml:space="preserve">; косметичних інгредієнтів; </w:t>
      </w:r>
      <w:r w:rsidRPr="003B6D80">
        <w:t>смакових добавок, харчової сировини</w:t>
      </w:r>
      <w:r>
        <w:t xml:space="preserve">; </w:t>
      </w:r>
      <w:r w:rsidRPr="003B6D80">
        <w:t>інгредієнтів для саморобного морозива</w:t>
      </w:r>
      <w:r>
        <w:t xml:space="preserve">; </w:t>
      </w:r>
      <w:proofErr w:type="spellStart"/>
      <w:r>
        <w:t>фітофармацевтичних</w:t>
      </w:r>
      <w:proofErr w:type="spellEnd"/>
      <w:r>
        <w:t xml:space="preserve"> препаратів; </w:t>
      </w:r>
      <w:r w:rsidRPr="003B6D80">
        <w:t>ароматизаторів, смакових засобів, харчових систем, продукції для здоров'я, засобів захисту харчових продуктів, інгредієнтів для ароматизаторів та ароматів, харчової сировини, натуральних харчових фарбників та сокових компаундів</w:t>
      </w:r>
      <w:r>
        <w:t>.</w:t>
      </w:r>
      <w:r w:rsidRPr="003B6D80">
        <w:t xml:space="preserve"> </w:t>
      </w:r>
    </w:p>
    <w:p w:rsidR="00C84D1B" w:rsidRDefault="00C84D1B" w:rsidP="000C1EED">
      <w:pPr>
        <w:ind w:firstLine="708"/>
        <w:jc w:val="both"/>
      </w:pPr>
    </w:p>
    <w:p w:rsidR="0091502F" w:rsidRPr="00136EF4" w:rsidRDefault="0091502F" w:rsidP="0091502F">
      <w:pPr>
        <w:ind w:firstLine="708"/>
        <w:jc w:val="both"/>
      </w:pPr>
      <w:r w:rsidRPr="00136EF4">
        <w:t>Заявлен</w:t>
      </w:r>
      <w:r>
        <w:t>а концентрація</w:t>
      </w:r>
      <w:r w:rsidRPr="00136EF4">
        <w:t xml:space="preserve"> не призвод</w:t>
      </w:r>
      <w:r>
        <w:t>и</w:t>
      </w:r>
      <w:r w:rsidRPr="00136EF4">
        <w:t>ть до монополізації чи суттєвого обмеження конкуренції на товарних ринках України.</w:t>
      </w:r>
    </w:p>
    <w:p w:rsidR="0091502F" w:rsidRDefault="0091502F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91502F" w:rsidRDefault="0091502F" w:rsidP="0091502F">
      <w:pPr>
        <w:ind w:firstLine="709"/>
        <w:jc w:val="both"/>
      </w:pPr>
      <w:r w:rsidRPr="001526DC">
        <w:t xml:space="preserve">Надати дозвіл </w:t>
      </w:r>
      <w:r>
        <w:t>компанії «</w:t>
      </w:r>
      <w:proofErr w:type="spellStart"/>
      <w:r w:rsidRPr="00210E12">
        <w:t>International</w:t>
      </w:r>
      <w:proofErr w:type="spellEnd"/>
      <w:r w:rsidRPr="00210E12">
        <w:t xml:space="preserve"> </w:t>
      </w:r>
      <w:proofErr w:type="spellStart"/>
      <w:r w:rsidRPr="00210E12">
        <w:t>Flavors</w:t>
      </w:r>
      <w:proofErr w:type="spellEnd"/>
      <w:r w:rsidRPr="00210E12">
        <w:t xml:space="preserve"> &amp; </w:t>
      </w:r>
      <w:proofErr w:type="spellStart"/>
      <w:r w:rsidRPr="00210E12">
        <w:t>Fragrances</w:t>
      </w:r>
      <w:proofErr w:type="spellEnd"/>
      <w:r w:rsidRPr="00210E12">
        <w:t xml:space="preserve"> </w:t>
      </w:r>
      <w:proofErr w:type="spellStart"/>
      <w:r w:rsidRPr="00210E12">
        <w:t>Inc</w:t>
      </w:r>
      <w:proofErr w:type="spellEnd"/>
      <w:r w:rsidRPr="00210E12">
        <w:t>.</w:t>
      </w:r>
      <w:r>
        <w:t>» (</w:t>
      </w:r>
      <w:r w:rsidRPr="00550301">
        <w:t>м. Нью-Йорк, штат Нью-Йорк, США)</w:t>
      </w:r>
      <w:r>
        <w:t xml:space="preserve"> на </w:t>
      </w:r>
      <w:r w:rsidRPr="00210E12">
        <w:t xml:space="preserve">набуття </w:t>
      </w:r>
      <w:r w:rsidRPr="008775D5">
        <w:rPr>
          <w:lang w:val="ru-RU"/>
        </w:rPr>
        <w:t>[</w:t>
      </w:r>
      <w:r>
        <w:t xml:space="preserve">опосередковано через </w:t>
      </w:r>
      <w:r w:rsidRPr="004A36E4">
        <w:t>компанію «</w:t>
      </w:r>
      <w:proofErr w:type="spellStart"/>
      <w:r w:rsidRPr="004A36E4">
        <w:t>Neptune</w:t>
      </w:r>
      <w:proofErr w:type="spellEnd"/>
      <w:r w:rsidRPr="004A36E4">
        <w:t xml:space="preserve"> </w:t>
      </w:r>
      <w:proofErr w:type="spellStart"/>
      <w:r w:rsidRPr="004A36E4">
        <w:t>Merger</w:t>
      </w:r>
      <w:proofErr w:type="spellEnd"/>
      <w:r w:rsidRPr="004A36E4">
        <w:t xml:space="preserve"> </w:t>
      </w:r>
      <w:proofErr w:type="spellStart"/>
      <w:r w:rsidRPr="004A36E4">
        <w:t>Sub</w:t>
      </w:r>
      <w:proofErr w:type="spellEnd"/>
      <w:r w:rsidRPr="004A36E4">
        <w:t xml:space="preserve"> I </w:t>
      </w:r>
      <w:proofErr w:type="spellStart"/>
      <w:r w:rsidRPr="004A36E4">
        <w:t>Inc</w:t>
      </w:r>
      <w:proofErr w:type="spellEnd"/>
      <w:r w:rsidRPr="004A36E4">
        <w:t xml:space="preserve">.» (штат </w:t>
      </w:r>
      <w:proofErr w:type="spellStart"/>
      <w:r w:rsidRPr="004A36E4">
        <w:t>Делавер</w:t>
      </w:r>
      <w:proofErr w:type="spellEnd"/>
      <w:r w:rsidRPr="004A36E4">
        <w:t>, США)</w:t>
      </w:r>
      <w:r w:rsidRPr="00121019">
        <w:rPr>
          <w:lang w:val="ru-RU"/>
        </w:rPr>
        <w:t>]</w:t>
      </w:r>
      <w:r>
        <w:t xml:space="preserve"> </w:t>
      </w:r>
      <w:r w:rsidRPr="00210E12">
        <w:t xml:space="preserve">контролю над компанією </w:t>
      </w:r>
      <w:r>
        <w:t>«</w:t>
      </w:r>
      <w:proofErr w:type="spellStart"/>
      <w:r w:rsidRPr="00210E12">
        <w:t>Nutrition</w:t>
      </w:r>
      <w:proofErr w:type="spellEnd"/>
      <w:r w:rsidRPr="00210E12">
        <w:t xml:space="preserve"> &amp; </w:t>
      </w:r>
      <w:proofErr w:type="spellStart"/>
      <w:r w:rsidRPr="00210E12">
        <w:t>Biosciences</w:t>
      </w:r>
      <w:proofErr w:type="spellEnd"/>
      <w:r w:rsidRPr="00210E12">
        <w:t xml:space="preserve">, </w:t>
      </w:r>
      <w:proofErr w:type="spellStart"/>
      <w:r w:rsidRPr="00210E12">
        <w:t>Inc</w:t>
      </w:r>
      <w:proofErr w:type="spellEnd"/>
      <w:r w:rsidRPr="00210E12">
        <w:t>.</w:t>
      </w:r>
      <w:r>
        <w:t>»</w:t>
      </w:r>
      <w:r w:rsidRPr="00210E12">
        <w:t xml:space="preserve"> </w:t>
      </w:r>
      <w:r w:rsidRPr="0091502F">
        <w:t xml:space="preserve">                            </w:t>
      </w:r>
      <w:r w:rsidRPr="00210E12">
        <w:t>(</w:t>
      </w:r>
      <w:r w:rsidRPr="00FB125B">
        <w:t xml:space="preserve">м. </w:t>
      </w:r>
      <w:proofErr w:type="spellStart"/>
      <w:r w:rsidRPr="0091502F">
        <w:t>Вілмінгтон</w:t>
      </w:r>
      <w:proofErr w:type="spellEnd"/>
      <w:r w:rsidRPr="0091502F">
        <w:t xml:space="preserve">, </w:t>
      </w:r>
      <w:r w:rsidRPr="00210E12">
        <w:t xml:space="preserve">штат </w:t>
      </w:r>
      <w:proofErr w:type="spellStart"/>
      <w:r w:rsidRPr="00210E12">
        <w:t>Делавер</w:t>
      </w:r>
      <w:proofErr w:type="spellEnd"/>
      <w:r w:rsidRPr="00210E12">
        <w:t>, США)</w:t>
      </w:r>
      <w:r>
        <w:t>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91502F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91502F">
        <w:rPr>
          <w:color w:val="000000"/>
        </w:rPr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2F609A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B9D" w:rsidRDefault="00C52B9D">
      <w:r>
        <w:separator/>
      </w:r>
    </w:p>
  </w:endnote>
  <w:endnote w:type="continuationSeparator" w:id="0">
    <w:p w:rsidR="00C52B9D" w:rsidRDefault="00C5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B9D" w:rsidRDefault="00C52B9D">
      <w:r>
        <w:separator/>
      </w:r>
    </w:p>
  </w:footnote>
  <w:footnote w:type="continuationSeparator" w:id="0">
    <w:p w:rsidR="00C52B9D" w:rsidRDefault="00C52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2F" w:rsidRDefault="0091502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502F" w:rsidRDefault="009150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2F" w:rsidRDefault="0091502F">
    <w:pPr>
      <w:pStyle w:val="a5"/>
    </w:pPr>
  </w:p>
  <w:p w:rsidR="0091502F" w:rsidRDefault="0091502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5F2B">
      <w:rPr>
        <w:rStyle w:val="a6"/>
        <w:noProof/>
      </w:rPr>
      <w:t>2</w:t>
    </w:r>
    <w:r>
      <w:rPr>
        <w:rStyle w:val="a6"/>
      </w:rPr>
      <w:fldChar w:fldCharType="end"/>
    </w:r>
  </w:p>
  <w:p w:rsidR="0091502F" w:rsidRDefault="0091502F">
    <w:pPr>
      <w:pStyle w:val="a5"/>
    </w:pPr>
  </w:p>
  <w:p w:rsidR="0091502F" w:rsidRPr="00B82EE1" w:rsidRDefault="0091502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1A69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6777"/>
    <w:rsid w:val="001B69A7"/>
    <w:rsid w:val="001C3D90"/>
    <w:rsid w:val="001C47C1"/>
    <w:rsid w:val="001C51DC"/>
    <w:rsid w:val="001C7125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142A"/>
    <w:rsid w:val="003F203B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57C3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86F20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13F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2710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2F"/>
    <w:rsid w:val="00915030"/>
    <w:rsid w:val="00915CA8"/>
    <w:rsid w:val="00917471"/>
    <w:rsid w:val="00920FDA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04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A98"/>
    <w:rsid w:val="00C525DD"/>
    <w:rsid w:val="00C52B9D"/>
    <w:rsid w:val="00C52F7C"/>
    <w:rsid w:val="00C54562"/>
    <w:rsid w:val="00C54796"/>
    <w:rsid w:val="00C55F41"/>
    <w:rsid w:val="00C634DF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500A9"/>
    <w:rsid w:val="00F54153"/>
    <w:rsid w:val="00F54ABE"/>
    <w:rsid w:val="00F55F2B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2020-08-13T05:18:00Z</cp:lastPrinted>
  <dcterms:created xsi:type="dcterms:W3CDTF">2020-08-14T06:47:00Z</dcterms:created>
  <dcterms:modified xsi:type="dcterms:W3CDTF">2020-08-14T06:47:00Z</dcterms:modified>
</cp:coreProperties>
</file>