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59BAC804" wp14:editId="6D9819F1">
            <wp:extent cx="612775" cy="681355"/>
            <wp:effectExtent l="0" t="0" r="0" b="444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4074" w:rsidRPr="00F96968" w:rsidRDefault="00D14074" w:rsidP="00D140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val="ru-RU" w:eastAsia="ru-RU"/>
        </w:rPr>
        <w:t>АНТИМОНОПОЛЬНИЙ   КОМІТЕТ   УКРАЇНИ</w:t>
      </w:r>
    </w:p>
    <w:p w:rsidR="00476E62" w:rsidRPr="006A3E87" w:rsidRDefault="00476E62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4074" w:rsidRPr="00F96968" w:rsidRDefault="00D14074" w:rsidP="00D14074">
      <w:pPr>
        <w:tabs>
          <w:tab w:val="left" w:leader="hyphen" w:pos="102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F96968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РІШЕННЯ</w:t>
      </w:r>
    </w:p>
    <w:p w:rsidR="00D14074" w:rsidRPr="00B1299F" w:rsidRDefault="00D14074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6A3E87" w:rsidRPr="00B1299F" w:rsidRDefault="006A3E87" w:rsidP="005251FC">
      <w:pPr>
        <w:tabs>
          <w:tab w:val="left" w:leader="hyphen" w:pos="10206"/>
        </w:tabs>
        <w:spacing w:after="0" w:line="240" w:lineRule="auto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</w:p>
    <w:p w:rsidR="00D14074" w:rsidRPr="00415CE6" w:rsidRDefault="00350045" w:rsidP="00350045">
      <w:pPr>
        <w:tabs>
          <w:tab w:val="left" w:pos="482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05</w:t>
      </w:r>
      <w:r w:rsidR="00880CA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proofErr w:type="spellStart"/>
      <w:r w:rsidR="00424E9D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березня</w:t>
      </w:r>
      <w:proofErr w:type="spellEnd"/>
      <w:r w:rsidR="00591E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20</w:t>
      </w:r>
      <w:r w:rsidR="00AF04D1">
        <w:rPr>
          <w:rFonts w:ascii="Times New Roman" w:eastAsia="Times New Roman" w:hAnsi="Times New Roman" w:cs="Times New Roman"/>
          <w:bCs/>
          <w:sz w:val="24"/>
          <w:szCs w:val="24"/>
          <w:lang w:val="ru-RU" w:eastAsia="ru-RU"/>
        </w:rPr>
        <w:t>20</w:t>
      </w:r>
      <w:r w:rsidR="00D14074" w:rsidRPr="00680F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р.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</w:t>
      </w:r>
      <w:r w:rsidR="00B804F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424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8725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Київ              </w:t>
      </w:r>
      <w:r w:rsidR="008F56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="00042832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56A2" w:rsidRPr="00415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BC4A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DD3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424E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D31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4074" w:rsidRPr="00680F37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AF04D1" w:rsidRPr="00B80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E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153</w:t>
      </w:r>
      <w:r w:rsidR="008F56A2" w:rsidRPr="008F56A2">
        <w:rPr>
          <w:rFonts w:ascii="Times New Roman" w:eastAsia="Times New Roman" w:hAnsi="Times New Roman" w:cs="Times New Roman"/>
          <w:sz w:val="24"/>
          <w:szCs w:val="24"/>
          <w:lang w:eastAsia="ru-RU"/>
        </w:rPr>
        <w:t>-р</w:t>
      </w:r>
    </w:p>
    <w:p w:rsidR="00D14074" w:rsidRPr="00B1299F" w:rsidRDefault="00D14074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D67D6" w:rsidRPr="00B1299F" w:rsidRDefault="00FD67D6" w:rsidP="00C363F3">
      <w:pPr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D14074" w:rsidRPr="00591E4E" w:rsidRDefault="00D14074" w:rsidP="004B2335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0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 надання дозволу </w:t>
      </w:r>
    </w:p>
    <w:p w:rsidR="00D14074" w:rsidRPr="000833F9" w:rsidRDefault="00D14074" w:rsidP="00033BFC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1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Pr="00033B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концентрацію</w:t>
      </w:r>
    </w:p>
    <w:p w:rsidR="00D14074" w:rsidRPr="00B1299F" w:rsidRDefault="00D14074" w:rsidP="009E4BE5">
      <w:pPr>
        <w:tabs>
          <w:tab w:val="center" w:pos="4153"/>
          <w:tab w:val="right" w:pos="8306"/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680F37" w:rsidRPr="00B1299F" w:rsidRDefault="00680F37" w:rsidP="00B1299F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0833F9">
        <w:rPr>
          <w:rFonts w:ascii="Times New Roman" w:hAnsi="Times New Roman" w:cs="Times New Roman"/>
          <w:spacing w:val="-4"/>
          <w:sz w:val="24"/>
          <w:szCs w:val="24"/>
        </w:rPr>
        <w:t xml:space="preserve">Антимонопольний комітет України, розглянувши </w:t>
      </w:r>
      <w:r w:rsidRPr="000833F9">
        <w:rPr>
          <w:rFonts w:ascii="Times New Roman" w:hAnsi="Times New Roman" w:cs="Times New Roman"/>
          <w:sz w:val="24"/>
          <w:szCs w:val="24"/>
        </w:rPr>
        <w:t xml:space="preserve">заяву </w:t>
      </w:r>
      <w:r w:rsidR="00FD67D6" w:rsidRPr="00FD67D6">
        <w:rPr>
          <w:rFonts w:ascii="Times New Roman" w:hAnsi="Times New Roman" w:cs="Times New Roman"/>
          <w:sz w:val="24"/>
          <w:szCs w:val="24"/>
        </w:rPr>
        <w:t xml:space="preserve">уповноважених представників товариства з обмеженою відповідальністю «Петро </w:t>
      </w:r>
      <w:proofErr w:type="spellStart"/>
      <w:r w:rsidR="00FD67D6" w:rsidRPr="00FD67D6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="00FD67D6" w:rsidRPr="00FD6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67D6" w:rsidRPr="00FD67D6">
        <w:rPr>
          <w:rFonts w:ascii="Times New Roman" w:hAnsi="Times New Roman" w:cs="Times New Roman"/>
          <w:sz w:val="24"/>
          <w:szCs w:val="24"/>
        </w:rPr>
        <w:t>Енд</w:t>
      </w:r>
      <w:proofErr w:type="spellEnd"/>
      <w:r w:rsidR="00FD67D6" w:rsidRPr="00FD6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67D6" w:rsidRPr="00FD67D6">
        <w:rPr>
          <w:rFonts w:ascii="Times New Roman" w:hAnsi="Times New Roman" w:cs="Times New Roman"/>
          <w:sz w:val="24"/>
          <w:szCs w:val="24"/>
        </w:rPr>
        <w:t>Кемікалс</w:t>
      </w:r>
      <w:proofErr w:type="spellEnd"/>
      <w:r w:rsidR="00FD67D6" w:rsidRPr="00FD67D6">
        <w:rPr>
          <w:rFonts w:ascii="Times New Roman" w:hAnsi="Times New Roman" w:cs="Times New Roman"/>
          <w:sz w:val="24"/>
          <w:szCs w:val="24"/>
        </w:rPr>
        <w:t>» (далі –</w:t>
      </w:r>
      <w:r w:rsidR="00FE60A5">
        <w:rPr>
          <w:rFonts w:ascii="Times New Roman" w:hAnsi="Times New Roman" w:cs="Times New Roman"/>
          <w:sz w:val="24"/>
          <w:szCs w:val="24"/>
        </w:rPr>
        <w:t xml:space="preserve"> </w:t>
      </w:r>
      <w:r w:rsidR="00FD67D6" w:rsidRPr="00FD67D6">
        <w:rPr>
          <w:rFonts w:ascii="Times New Roman" w:hAnsi="Times New Roman" w:cs="Times New Roman"/>
          <w:sz w:val="24"/>
          <w:szCs w:val="24"/>
        </w:rPr>
        <w:t xml:space="preserve">ТОВ «Петро </w:t>
      </w:r>
      <w:proofErr w:type="spellStart"/>
      <w:r w:rsidR="00FD67D6" w:rsidRPr="00FD67D6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="00FD67D6" w:rsidRPr="00FD6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67D6" w:rsidRPr="00FD67D6">
        <w:rPr>
          <w:rFonts w:ascii="Times New Roman" w:hAnsi="Times New Roman" w:cs="Times New Roman"/>
          <w:sz w:val="24"/>
          <w:szCs w:val="24"/>
        </w:rPr>
        <w:t>Енд</w:t>
      </w:r>
      <w:proofErr w:type="spellEnd"/>
      <w:r w:rsidR="00FD67D6" w:rsidRPr="00FD6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D67D6" w:rsidRPr="00FD67D6">
        <w:rPr>
          <w:rFonts w:ascii="Times New Roman" w:hAnsi="Times New Roman" w:cs="Times New Roman"/>
          <w:sz w:val="24"/>
          <w:szCs w:val="24"/>
        </w:rPr>
        <w:t>Кемікалс</w:t>
      </w:r>
      <w:proofErr w:type="spellEnd"/>
      <w:r w:rsidR="00FD67D6" w:rsidRPr="00FD67D6">
        <w:rPr>
          <w:rFonts w:ascii="Times New Roman" w:hAnsi="Times New Roman" w:cs="Times New Roman"/>
          <w:sz w:val="24"/>
          <w:szCs w:val="24"/>
        </w:rPr>
        <w:t>») (м. Київ, Україна) та компанії «</w:t>
      </w:r>
      <w:proofErr w:type="spellStart"/>
      <w:r w:rsidR="00FD67D6" w:rsidRPr="00FD67D6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="00FD67D6" w:rsidRPr="00FD67D6">
        <w:rPr>
          <w:rFonts w:ascii="Times New Roman" w:hAnsi="Times New Roman" w:cs="Times New Roman"/>
          <w:sz w:val="24"/>
          <w:szCs w:val="24"/>
        </w:rPr>
        <w:t xml:space="preserve"> SA» (м. Женева, Швейцарія)</w:t>
      </w:r>
      <w:r w:rsidR="008118A8" w:rsidRPr="000833F9">
        <w:rPr>
          <w:rFonts w:ascii="Times New Roman" w:hAnsi="Times New Roman" w:cs="Times New Roman"/>
          <w:sz w:val="24"/>
          <w:szCs w:val="24"/>
        </w:rPr>
        <w:t xml:space="preserve"> </w:t>
      </w:r>
      <w:r w:rsidRPr="000833F9">
        <w:rPr>
          <w:rFonts w:ascii="Times New Roman" w:hAnsi="Times New Roman" w:cs="Times New Roman"/>
          <w:sz w:val="24"/>
          <w:szCs w:val="24"/>
        </w:rPr>
        <w:t xml:space="preserve">про надання дозволу </w:t>
      </w:r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товариств</w:t>
      </w:r>
      <w:r w:rsid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у</w:t>
      </w:r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з обмеженою відповідальністю «</w:t>
      </w:r>
      <w:proofErr w:type="spellStart"/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Рисоіл</w:t>
      </w:r>
      <w:proofErr w:type="spellEnd"/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-Херсон» (далі – </w:t>
      </w:r>
      <w:r w:rsid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               </w:t>
      </w:r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ТОВ «</w:t>
      </w:r>
      <w:proofErr w:type="spellStart"/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Рисоіл</w:t>
      </w:r>
      <w:proofErr w:type="spellEnd"/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-Херсон») (м. Київ, Україна) на </w:t>
      </w:r>
      <w:r w:rsidR="00B129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опосередковане набуття контролю, шляхом одержання </w:t>
      </w:r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в концесію</w:t>
      </w:r>
      <w:r w:rsidR="00B129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, над</w:t>
      </w:r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актив</w:t>
      </w:r>
      <w:r w:rsidR="00B129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ами</w:t>
      </w:r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у вигляді єдиного майнового комплексу, що належать державному підприємству «Херсонський Морський Торговельний Порт» (далі – </w:t>
      </w:r>
      <w:r w:rsidR="00B129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                                </w:t>
      </w:r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ДП «Херсонський Морський Торговельний Порт») (м. Херсон, Україна) та державному підприємству «Адміністрація морських портів України» (далі –</w:t>
      </w:r>
      <w:r w:rsidR="00B129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</w:t>
      </w:r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ДП «Адміністрація морських портів України») (м. Київ, Україна)</w:t>
      </w:r>
      <w:r w:rsidR="006218C2" w:rsidRPr="000833F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80F37" w:rsidRPr="00B1299F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36"/>
          <w:szCs w:val="36"/>
        </w:rPr>
      </w:pPr>
    </w:p>
    <w:p w:rsidR="00680F37" w:rsidRPr="00E90DAC" w:rsidRDefault="00680F37" w:rsidP="009E4B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E90DAC">
        <w:rPr>
          <w:rFonts w:ascii="Times New Roman" w:hAnsi="Times New Roman" w:cs="Times New Roman"/>
          <w:sz w:val="24"/>
          <w:szCs w:val="24"/>
        </w:rPr>
        <w:t>ВСТАНОВИВ:</w:t>
      </w:r>
    </w:p>
    <w:p w:rsidR="00680F37" w:rsidRPr="00B1299F" w:rsidRDefault="00680F37" w:rsidP="00AF04D1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36"/>
          <w:szCs w:val="36"/>
        </w:rPr>
      </w:pPr>
    </w:p>
    <w:p w:rsidR="00680F37" w:rsidRPr="00FD67D6" w:rsidRDefault="008118A8" w:rsidP="00FD67D6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MS Mincho" w:hAnsi="Times New Roman" w:cs="Times New Roman"/>
          <w:bCs/>
          <w:sz w:val="24"/>
          <w:szCs w:val="24"/>
          <w:lang w:eastAsia="ja-JP"/>
        </w:rPr>
      </w:pPr>
      <w:r w:rsidRPr="00DC29D3">
        <w:rPr>
          <w:rFonts w:ascii="Times New Roman" w:hAnsi="Times New Roman" w:cs="Times New Roman"/>
          <w:sz w:val="24"/>
          <w:szCs w:val="24"/>
        </w:rPr>
        <w:t xml:space="preserve">Концентрація полягає в </w:t>
      </w:r>
      <w:r w:rsidR="00B1299F">
        <w:rPr>
          <w:rFonts w:ascii="Times New Roman" w:hAnsi="Times New Roman" w:cs="Times New Roman"/>
          <w:sz w:val="24"/>
          <w:szCs w:val="24"/>
        </w:rPr>
        <w:t xml:space="preserve">опосередкованому набутті </w:t>
      </w:r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ТОВ «</w:t>
      </w:r>
      <w:proofErr w:type="spellStart"/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Рисоіл</w:t>
      </w:r>
      <w:proofErr w:type="spellEnd"/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-Херсон»</w:t>
      </w:r>
      <w:r w:rsidR="000833F9"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</w:t>
      </w:r>
      <w:r w:rsidR="00B129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контролю, шляхом </w:t>
      </w:r>
      <w:r w:rsidR="00B1299F" w:rsidRPr="00B129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одержанн</w:t>
      </w:r>
      <w:r w:rsidR="00FE60A5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я</w:t>
      </w:r>
      <w:r w:rsidR="00B1299F" w:rsidRPr="00B129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</w:t>
      </w:r>
      <w:r w:rsidR="00FE60A5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в</w:t>
      </w:r>
      <w:r w:rsidR="00424E9D" w:rsidRPr="00424E9D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концесію</w:t>
      </w:r>
      <w:r w:rsidR="00B129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, над</w:t>
      </w:r>
      <w:r w:rsidR="00424E9D" w:rsidRPr="00424E9D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</w:t>
      </w:r>
      <w:r w:rsidR="000833F9" w:rsidRPr="00DC29D3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актив</w:t>
      </w:r>
      <w:r w:rsidR="00B129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ами</w:t>
      </w:r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 xml:space="preserve"> у вигляді єдиного майнового комплексу, що належать ДП «Херсонський Морський Торговельний Порт</w:t>
      </w:r>
      <w:r w:rsidR="00FD67D6" w:rsidRPr="00B1299F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»</w:t>
      </w:r>
      <w:r w:rsidR="00FD67D6" w:rsidRPr="00B1299F">
        <w:rPr>
          <w:rFonts w:ascii="Times New Roman" w:hAnsi="Times New Roman" w:cs="Times New Roman"/>
          <w:sz w:val="24"/>
          <w:szCs w:val="24"/>
        </w:rPr>
        <w:t xml:space="preserve"> та</w:t>
      </w:r>
      <w:r w:rsidR="00FD67D6">
        <w:t xml:space="preserve"> </w:t>
      </w:r>
      <w:r w:rsidR="00FD67D6" w:rsidRPr="00FD67D6">
        <w:rPr>
          <w:rFonts w:ascii="Times New Roman" w:eastAsia="MS Mincho" w:hAnsi="Times New Roman" w:cs="Times New Roman"/>
          <w:bCs/>
          <w:sz w:val="24"/>
          <w:szCs w:val="24"/>
          <w:lang w:eastAsia="ja-JP"/>
        </w:rPr>
        <w:t>ДП «Адміністрація морських портів України»</w:t>
      </w:r>
      <w:r w:rsidR="000833F9"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та</w:t>
      </w:r>
      <w:r w:rsidR="00477C30" w:rsidRPr="00477C30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разом</w:t>
      </w:r>
      <w:r w:rsidR="000833F9"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забезпечують здійснення господарської діяльності з надання </w:t>
      </w:r>
      <w:proofErr w:type="spellStart"/>
      <w:r w:rsidR="000833F9"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стивідорних</w:t>
      </w:r>
      <w:proofErr w:type="spellEnd"/>
      <w:r w:rsidR="000833F9"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послуг 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в</w:t>
      </w:r>
      <w:r w:rsidR="000833F9" w:rsidRPr="00DC29D3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морському порту </w:t>
      </w:r>
      <w:r w:rsid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Херсон</w:t>
      </w:r>
      <w:r w:rsidR="00680F37" w:rsidRPr="00DC29D3">
        <w:rPr>
          <w:rFonts w:ascii="Times New Roman" w:hAnsi="Times New Roman" w:cs="Times New Roman"/>
          <w:sz w:val="24"/>
          <w:szCs w:val="24"/>
        </w:rPr>
        <w:t>.</w:t>
      </w:r>
    </w:p>
    <w:p w:rsidR="00D14074" w:rsidRPr="00B1299F" w:rsidRDefault="00D14074" w:rsidP="00DC2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D67D6" w:rsidRPr="00FD67D6" w:rsidRDefault="00FD67D6" w:rsidP="00FD6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7D6">
        <w:rPr>
          <w:rFonts w:ascii="Times New Roman" w:hAnsi="Times New Roman" w:cs="Times New Roman"/>
          <w:sz w:val="24"/>
          <w:szCs w:val="24"/>
        </w:rPr>
        <w:t xml:space="preserve">Міністерством </w:t>
      </w:r>
      <w:r w:rsidR="00FE60A5">
        <w:rPr>
          <w:rFonts w:ascii="Times New Roman" w:hAnsi="Times New Roman" w:cs="Times New Roman"/>
          <w:sz w:val="24"/>
          <w:szCs w:val="24"/>
        </w:rPr>
        <w:t>і</w:t>
      </w:r>
      <w:r w:rsidRPr="00FD67D6">
        <w:rPr>
          <w:rFonts w:ascii="Times New Roman" w:hAnsi="Times New Roman" w:cs="Times New Roman"/>
          <w:sz w:val="24"/>
          <w:szCs w:val="24"/>
        </w:rPr>
        <w:t>нфраструктури України проведено конкурс стосовно визначення концесіонера щодо передачі в концесію майна ДП «Херсонський Морський Торговельний Порт» та ДП «Адміністрація морських портів України», а також об’єкт</w:t>
      </w:r>
      <w:r w:rsidR="00FE60A5">
        <w:rPr>
          <w:rFonts w:ascii="Times New Roman" w:hAnsi="Times New Roman" w:cs="Times New Roman"/>
          <w:sz w:val="24"/>
          <w:szCs w:val="24"/>
        </w:rPr>
        <w:t>ів</w:t>
      </w:r>
      <w:r w:rsidRPr="00FD67D6">
        <w:rPr>
          <w:rFonts w:ascii="Times New Roman" w:hAnsi="Times New Roman" w:cs="Times New Roman"/>
          <w:sz w:val="24"/>
          <w:szCs w:val="24"/>
        </w:rPr>
        <w:t>, які мають бути спеціально створені (збудовані) відповідно до умов концесійного договору.</w:t>
      </w:r>
    </w:p>
    <w:p w:rsidR="00FD67D6" w:rsidRPr="00FD67D6" w:rsidRDefault="00FD67D6" w:rsidP="00FD6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7D6">
        <w:rPr>
          <w:rFonts w:ascii="Times New Roman" w:hAnsi="Times New Roman" w:cs="Times New Roman"/>
          <w:sz w:val="24"/>
          <w:szCs w:val="24"/>
        </w:rPr>
        <w:t xml:space="preserve">З метою участі у конкурсі ТОВ «Петро 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Енд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Кемікалс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>» та компанія «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 xml:space="preserve"> SA» створили ТОВ «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>-Херсон».</w:t>
      </w:r>
    </w:p>
    <w:p w:rsidR="00FD67D6" w:rsidRDefault="00FD67D6" w:rsidP="00FD6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7D6">
        <w:rPr>
          <w:rFonts w:ascii="Times New Roman" w:hAnsi="Times New Roman" w:cs="Times New Roman"/>
          <w:sz w:val="24"/>
          <w:szCs w:val="24"/>
        </w:rPr>
        <w:t xml:space="preserve">ТОВ «Петро 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Енд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Кемікалс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>» та компанія «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 xml:space="preserve"> SA» уклали Договір </w:t>
      </w:r>
      <w:r w:rsidR="00DF452D">
        <w:rPr>
          <w:rFonts w:ascii="Times New Roman" w:hAnsi="Times New Roman" w:cs="Times New Roman"/>
          <w:sz w:val="24"/>
          <w:szCs w:val="24"/>
        </w:rPr>
        <w:t>о</w:t>
      </w:r>
      <w:r w:rsidRPr="00FD67D6">
        <w:rPr>
          <w:rFonts w:ascii="Times New Roman" w:hAnsi="Times New Roman" w:cs="Times New Roman"/>
          <w:sz w:val="24"/>
          <w:szCs w:val="24"/>
        </w:rPr>
        <w:t xml:space="preserve">б’єднання, з метою участі </w:t>
      </w:r>
      <w:r w:rsidR="00FE60A5">
        <w:rPr>
          <w:rFonts w:ascii="Times New Roman" w:hAnsi="Times New Roman" w:cs="Times New Roman"/>
          <w:sz w:val="24"/>
          <w:szCs w:val="24"/>
        </w:rPr>
        <w:t>в</w:t>
      </w:r>
      <w:r w:rsidRPr="00FD67D6">
        <w:rPr>
          <w:rFonts w:ascii="Times New Roman" w:hAnsi="Times New Roman" w:cs="Times New Roman"/>
          <w:sz w:val="24"/>
          <w:szCs w:val="24"/>
        </w:rPr>
        <w:t xml:space="preserve"> концесійному конкурсі, за умовами якого вони зобов’язуються співпрацювати у зв’язку з участю ТОВ «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 xml:space="preserve">-Херсон» у концесійному конкурсі та спільно здійснювати реалізацію 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про</w:t>
      </w:r>
      <w:r w:rsidR="00FE60A5">
        <w:rPr>
          <w:rFonts w:ascii="Times New Roman" w:hAnsi="Times New Roman" w:cs="Times New Roman"/>
          <w:sz w:val="24"/>
          <w:szCs w:val="24"/>
        </w:rPr>
        <w:t>є</w:t>
      </w:r>
      <w:r w:rsidRPr="00FD67D6">
        <w:rPr>
          <w:rFonts w:ascii="Times New Roman" w:hAnsi="Times New Roman" w:cs="Times New Roman"/>
          <w:sz w:val="24"/>
          <w:szCs w:val="24"/>
        </w:rPr>
        <w:t>кту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 xml:space="preserve"> щодо передачі в концесію майна ДП «Херсонський Морський Торговельний Порт» і ДП «Адміністрація морських портів України» </w:t>
      </w:r>
      <w:r w:rsidR="00B1299F">
        <w:rPr>
          <w:rFonts w:ascii="Times New Roman" w:hAnsi="Times New Roman" w:cs="Times New Roman"/>
          <w:sz w:val="24"/>
          <w:szCs w:val="24"/>
        </w:rPr>
        <w:t xml:space="preserve">строком на 30 років </w:t>
      </w:r>
      <w:r w:rsidRPr="00FD67D6">
        <w:rPr>
          <w:rFonts w:ascii="Times New Roman" w:hAnsi="Times New Roman" w:cs="Times New Roman"/>
          <w:sz w:val="24"/>
          <w:szCs w:val="24"/>
        </w:rPr>
        <w:t>та виконувати умови концесійного договору, якщо ТОВ «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>-Херсон» буде визнано пер</w:t>
      </w:r>
      <w:r>
        <w:rPr>
          <w:rFonts w:ascii="Times New Roman" w:hAnsi="Times New Roman" w:cs="Times New Roman"/>
          <w:sz w:val="24"/>
          <w:szCs w:val="24"/>
        </w:rPr>
        <w:t>еможцем концесійного конкурсу</w:t>
      </w:r>
      <w:r w:rsidR="00FE60A5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D67D6" w:rsidRDefault="00FD67D6" w:rsidP="00FD67D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7D6">
        <w:rPr>
          <w:rFonts w:ascii="Times New Roman" w:hAnsi="Times New Roman" w:cs="Times New Roman"/>
          <w:sz w:val="24"/>
          <w:szCs w:val="24"/>
        </w:rPr>
        <w:t>21 січня 2020 року ТОВ «</w:t>
      </w:r>
      <w:proofErr w:type="spellStart"/>
      <w:r w:rsidRPr="00FD67D6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D67D6">
        <w:rPr>
          <w:rFonts w:ascii="Times New Roman" w:hAnsi="Times New Roman" w:cs="Times New Roman"/>
          <w:sz w:val="24"/>
          <w:szCs w:val="24"/>
        </w:rPr>
        <w:t>-Херсон» було визнано переможцем концесійного конкурсу.</w:t>
      </w:r>
    </w:p>
    <w:p w:rsidR="003C2010" w:rsidRPr="00DC29D3" w:rsidRDefault="003C2010" w:rsidP="00DC29D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C29D3">
        <w:rPr>
          <w:rFonts w:ascii="Times New Roman" w:hAnsi="Times New Roman" w:cs="Times New Roman"/>
          <w:sz w:val="24"/>
          <w:szCs w:val="24"/>
        </w:rPr>
        <w:lastRenderedPageBreak/>
        <w:t>Відповідно до наданої заявниками інформації:</w:t>
      </w:r>
    </w:p>
    <w:p w:rsidR="00FD67D6" w:rsidRPr="00FD67D6" w:rsidRDefault="00FE60A5" w:rsidP="00B1299F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о</w:t>
      </w:r>
      <w:r w:rsidR="00FD67D6"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б’єктом концесії є:</w:t>
      </w:r>
      <w:r w:rsidR="00B129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</w:t>
      </w:r>
      <w:r w:rsidR="00FD67D6"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майно ДП «Херсонський Морський Торговельний Порт» та </w:t>
      </w:r>
      <w:r w:rsidR="00B129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               </w:t>
      </w:r>
      <w:r w:rsidR="00FD67D6"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ДП «Адміністрація морських портів України», що разом становить єдиний майновий комплекс </w:t>
      </w:r>
      <w:r w:rsidR="00B129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та</w:t>
      </w:r>
      <w:r w:rsidR="00FD67D6"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буд</w:t>
      </w:r>
      <w:r w:rsidR="00B1299F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е</w:t>
      </w:r>
      <w:r w:rsidR="00FD67D6"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використовуватися для забезпечення комплексного надання послуг у морському порту Херсон (далі – Херсонський порт);</w:t>
      </w: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16"/>
          <w:szCs w:val="16"/>
          <w:lang w:eastAsia="zh-CN"/>
        </w:rPr>
      </w:pP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Херсонський порт здійснює перевалку різних вантажів, у тому числі зернових та харчових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,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піску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,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металобрухту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,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мінеральних добрив навалом та в упаковці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,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деревини та інших суховантажів;</w:t>
      </w: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16"/>
          <w:szCs w:val="16"/>
          <w:lang w:eastAsia="zh-CN"/>
        </w:rPr>
      </w:pP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діяльність Херсонського порту включає такі види:</w:t>
      </w: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- перевалка зовнішньоторговельних, транзитних та каботажних вантажів (проведення вантажно-розвантажувальних робіт);</w:t>
      </w: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- послуги зернового перевантажувального комплексу;</w:t>
      </w: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- зберігання (накопичення) вантажів на відкритих складських майданчиках, 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у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критих складах та </w:t>
      </w:r>
      <w:proofErr w:type="spellStart"/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плав’ємностях</w:t>
      </w:r>
      <w:proofErr w:type="spellEnd"/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підприємства; </w:t>
      </w: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- упаковка навалочних та насипних вантажів 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у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м’які контейнери (біг-</w:t>
      </w:r>
      <w:proofErr w:type="spellStart"/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беги</w:t>
      </w:r>
      <w:proofErr w:type="spellEnd"/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);</w:t>
      </w: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- видобуток і реалізація піску з </w:t>
      </w:r>
      <w:proofErr w:type="spellStart"/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Шабовського</w:t>
      </w:r>
      <w:proofErr w:type="spellEnd"/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родовища з відвантаженням на судна клієнтів;</w:t>
      </w: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- послуги флоту (портового) 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з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обслуговуванн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я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суден;</w:t>
      </w: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- послуги плавучих кранів вантажопідйомністю 16 тонн, 100 тонн та 150 тонн;</w:t>
      </w: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- послуги портальних кранів вантажопідйомністю 5 – 20 тонн</w:t>
      </w:r>
      <w:r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;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</w:t>
      </w:r>
    </w:p>
    <w:p w:rsidR="00FD67D6" w:rsidRPr="00FD67D6" w:rsidRDefault="00FD67D6" w:rsidP="00461CC0">
      <w:pPr>
        <w:spacing w:after="0" w:line="240" w:lineRule="auto"/>
        <w:ind w:firstLine="567"/>
        <w:jc w:val="both"/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- послуги навантажувачів, тягачів, вантажного та іншого автотранспорту;</w:t>
      </w:r>
    </w:p>
    <w:p w:rsidR="00DC29D3" w:rsidRPr="00DC29D3" w:rsidRDefault="00FD67D6" w:rsidP="00461C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- супутні послуги 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з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обслуговуванн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я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вантажів: проведення сепарації вантажів; кріплення вантажів; проведення сухої зачистки трюмів; зважування вантажів на 60</w:t>
      </w:r>
      <w:r w:rsidR="00DF452D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-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 xml:space="preserve"> та 30</w:t>
      </w:r>
      <w:r w:rsidR="00FE60A5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-</w:t>
      </w:r>
      <w:r w:rsidRPr="00FD67D6">
        <w:rPr>
          <w:rFonts w:ascii="Times New Roman" w:eastAsia="PMingLiU" w:hAnsi="Times New Roman" w:cs="Times New Roman"/>
          <w:color w:val="000000"/>
          <w:sz w:val="24"/>
          <w:szCs w:val="24"/>
          <w:lang w:eastAsia="zh-CN"/>
        </w:rPr>
        <w:t>тонних автомобільних вагах підприємства; здійснення контролю якісних показників зернових, олійних вантажів та продуктів переробки зерна власною виробничо-технологічною лабораторією;</w:t>
      </w:r>
    </w:p>
    <w:p w:rsidR="00464BA8" w:rsidRDefault="00464BA8" w:rsidP="00464BA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67D6" w:rsidRDefault="00FD67D6" w:rsidP="00464BA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D33ED" w:rsidRPr="00F95824" w:rsidRDefault="003D33ED" w:rsidP="003D33E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>ТОВ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Рисоіл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-Херсон»</w:t>
      </w:r>
      <w:r w:rsidRPr="00F9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 xml:space="preserve">створене ТОВ «Петро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Енд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Кемікалс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та</w:t>
      </w:r>
      <w:r w:rsidRPr="003D33ED">
        <w:rPr>
          <w:rFonts w:ascii="Times New Roman" w:hAnsi="Times New Roman" w:cs="Times New Roman"/>
          <w:sz w:val="24"/>
          <w:szCs w:val="24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>компані</w:t>
      </w:r>
      <w:r>
        <w:rPr>
          <w:rFonts w:ascii="Times New Roman" w:hAnsi="Times New Roman" w:cs="Times New Roman"/>
          <w:sz w:val="24"/>
          <w:szCs w:val="24"/>
        </w:rPr>
        <w:t>єю</w:t>
      </w:r>
      <w:r w:rsidRPr="00F95824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SA» з метою участі </w:t>
      </w:r>
      <w:r w:rsidR="00FE60A5">
        <w:rPr>
          <w:rFonts w:ascii="Times New Roman" w:hAnsi="Times New Roman" w:cs="Times New Roman"/>
          <w:sz w:val="24"/>
          <w:szCs w:val="24"/>
        </w:rPr>
        <w:t>в</w:t>
      </w:r>
      <w:r w:rsidRPr="00F95824">
        <w:rPr>
          <w:rFonts w:ascii="Times New Roman" w:hAnsi="Times New Roman" w:cs="Times New Roman"/>
          <w:sz w:val="24"/>
          <w:szCs w:val="24"/>
        </w:rPr>
        <w:t xml:space="preserve"> концесійному конкурсі. Після здійснення заявлен</w:t>
      </w:r>
      <w:r>
        <w:rPr>
          <w:rFonts w:ascii="Times New Roman" w:hAnsi="Times New Roman" w:cs="Times New Roman"/>
          <w:sz w:val="24"/>
          <w:szCs w:val="24"/>
        </w:rPr>
        <w:t>ої</w:t>
      </w:r>
      <w:r w:rsidRPr="00F95824">
        <w:rPr>
          <w:rFonts w:ascii="Times New Roman" w:hAnsi="Times New Roman" w:cs="Times New Roman"/>
          <w:sz w:val="24"/>
          <w:szCs w:val="24"/>
        </w:rPr>
        <w:t xml:space="preserve"> концентраці</w:t>
      </w:r>
      <w:r>
        <w:rPr>
          <w:rFonts w:ascii="Times New Roman" w:hAnsi="Times New Roman" w:cs="Times New Roman"/>
          <w:sz w:val="24"/>
          <w:szCs w:val="24"/>
        </w:rPr>
        <w:t>ї</w:t>
      </w:r>
      <w:r w:rsidRPr="00F95824">
        <w:rPr>
          <w:rFonts w:ascii="Times New Roman" w:hAnsi="Times New Roman" w:cs="Times New Roman"/>
          <w:sz w:val="24"/>
          <w:szCs w:val="24"/>
        </w:rPr>
        <w:t xml:space="preserve"> товариство не планує здійснювати господарської діяльності;</w:t>
      </w:r>
    </w:p>
    <w:p w:rsidR="003D33ED" w:rsidRPr="00F95824" w:rsidRDefault="003D33ED" w:rsidP="003D33E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3D33ED" w:rsidRPr="00F95824" w:rsidRDefault="003D33ED" w:rsidP="003D33E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i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ТОВ «Петро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Ойл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Енд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Кемікалс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»</w:t>
      </w:r>
      <w:r w:rsidRPr="00F9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 xml:space="preserve">пов’язане відносинами контролю із суб’єктами  господарювання – резидентами та нерезидентами України, які разом утворюють Групу </w:t>
      </w:r>
      <w:proofErr w:type="spellStart"/>
      <w:r w:rsidRPr="00F95824">
        <w:rPr>
          <w:rFonts w:ascii="Times New Roman" w:hAnsi="Times New Roman" w:cs="Times New Roman"/>
          <w:sz w:val="24"/>
          <w:szCs w:val="24"/>
          <w:lang w:val="en-US"/>
        </w:rPr>
        <w:t>Lurag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;</w:t>
      </w:r>
    </w:p>
    <w:p w:rsidR="003D33ED" w:rsidRPr="00F95824" w:rsidRDefault="003D33ED" w:rsidP="003D33E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>на території України Група</w:t>
      </w:r>
      <w:r w:rsidRPr="00F95824">
        <w:t xml:space="preserve">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Lurag</w:t>
      </w:r>
      <w:proofErr w:type="spellEnd"/>
      <w:r w:rsidRPr="00F95824"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 xml:space="preserve">здійснює діяльність </w:t>
      </w:r>
      <w:r w:rsidR="00B1299F" w:rsidRPr="00B1299F">
        <w:rPr>
          <w:rFonts w:ascii="Times New Roman" w:hAnsi="Times New Roman" w:cs="Times New Roman"/>
          <w:sz w:val="24"/>
          <w:szCs w:val="24"/>
        </w:rPr>
        <w:t>у сфері відновлювальної енергетики</w:t>
      </w:r>
      <w:r w:rsidR="00B1299F">
        <w:rPr>
          <w:rFonts w:ascii="Times New Roman" w:hAnsi="Times New Roman" w:cs="Times New Roman"/>
          <w:sz w:val="24"/>
          <w:szCs w:val="24"/>
        </w:rPr>
        <w:t>, а саме в галузі енергії сонця</w:t>
      </w:r>
      <w:r w:rsidRPr="00F95824">
        <w:rPr>
          <w:rFonts w:ascii="Times New Roman" w:hAnsi="Times New Roman" w:cs="Times New Roman"/>
          <w:sz w:val="24"/>
          <w:szCs w:val="24"/>
        </w:rPr>
        <w:t>;</w:t>
      </w:r>
    </w:p>
    <w:p w:rsidR="003D33ED" w:rsidRPr="00F95824" w:rsidRDefault="003D33ED" w:rsidP="003D33E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бенефіціарним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власником Групи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Lurag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є фізична особа – громадянин Грузії;</w:t>
      </w:r>
    </w:p>
    <w:p w:rsidR="003D33ED" w:rsidRPr="00F95824" w:rsidRDefault="003D33ED" w:rsidP="003D33ED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i/>
          <w:sz w:val="20"/>
          <w:szCs w:val="20"/>
        </w:rPr>
      </w:pPr>
    </w:p>
    <w:p w:rsidR="003D33ED" w:rsidRPr="00F95824" w:rsidRDefault="003D33ED" w:rsidP="003D33ED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>компанія «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SA» пов’язана відносинами контролю</w:t>
      </w:r>
      <w:r w:rsidRPr="00F958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>із</w:t>
      </w:r>
      <w:r w:rsidRPr="00F95824">
        <w:rPr>
          <w:lang w:val="ru-RU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 xml:space="preserve">суб’єктами  господарювання – резидентами та нерезидентами України, які разом утворюють Групу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, а саме:</w:t>
      </w:r>
    </w:p>
    <w:p w:rsidR="003D33ED" w:rsidRPr="00F95824" w:rsidRDefault="003D33ED" w:rsidP="003D33ED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суб’єктами господарювання – резидентами України, які здійснюють діяльність із:  перевалки вантажів (проведення вантажно-розвантажувальних робіт </w:t>
      </w:r>
      <w:r w:rsidR="00FE60A5">
        <w:rPr>
          <w:rFonts w:ascii="Times New Roman" w:hAnsi="Times New Roman" w:cs="Times New Roman"/>
          <w:sz w:val="24"/>
          <w:szCs w:val="24"/>
        </w:rPr>
        <w:t xml:space="preserve">із </w:t>
      </w:r>
      <w:r w:rsidRPr="00F95824">
        <w:rPr>
          <w:rFonts w:ascii="Times New Roman" w:hAnsi="Times New Roman" w:cs="Times New Roman"/>
          <w:sz w:val="24"/>
          <w:szCs w:val="24"/>
        </w:rPr>
        <w:t>соняшниково</w:t>
      </w:r>
      <w:r w:rsidR="00FE60A5">
        <w:rPr>
          <w:rFonts w:ascii="Times New Roman" w:hAnsi="Times New Roman" w:cs="Times New Roman"/>
          <w:sz w:val="24"/>
          <w:szCs w:val="24"/>
        </w:rPr>
        <w:t>ю</w:t>
      </w:r>
      <w:r w:rsidRPr="00F95824">
        <w:rPr>
          <w:rFonts w:ascii="Times New Roman" w:hAnsi="Times New Roman" w:cs="Times New Roman"/>
          <w:sz w:val="24"/>
          <w:szCs w:val="24"/>
        </w:rPr>
        <w:t>, ріпаково</w:t>
      </w:r>
      <w:r w:rsidR="00FE60A5">
        <w:rPr>
          <w:rFonts w:ascii="Times New Roman" w:hAnsi="Times New Roman" w:cs="Times New Roman"/>
          <w:sz w:val="24"/>
          <w:szCs w:val="24"/>
        </w:rPr>
        <w:t>ю</w:t>
      </w:r>
      <w:r w:rsidRPr="00F95824">
        <w:rPr>
          <w:rFonts w:ascii="Times New Roman" w:hAnsi="Times New Roman" w:cs="Times New Roman"/>
          <w:sz w:val="24"/>
          <w:szCs w:val="24"/>
        </w:rPr>
        <w:t xml:space="preserve"> та соєво</w:t>
      </w:r>
      <w:r w:rsidR="00FE60A5">
        <w:rPr>
          <w:rFonts w:ascii="Times New Roman" w:hAnsi="Times New Roman" w:cs="Times New Roman"/>
          <w:sz w:val="24"/>
          <w:szCs w:val="24"/>
        </w:rPr>
        <w:t>ю</w:t>
      </w:r>
      <w:r w:rsidRPr="00F95824">
        <w:rPr>
          <w:rFonts w:ascii="Times New Roman" w:hAnsi="Times New Roman" w:cs="Times New Roman"/>
          <w:sz w:val="24"/>
          <w:szCs w:val="24"/>
        </w:rPr>
        <w:t xml:space="preserve"> олі</w:t>
      </w:r>
      <w:r w:rsidR="00FE60A5">
        <w:rPr>
          <w:rFonts w:ascii="Times New Roman" w:hAnsi="Times New Roman" w:cs="Times New Roman"/>
          <w:sz w:val="24"/>
          <w:szCs w:val="24"/>
        </w:rPr>
        <w:t>ями</w:t>
      </w:r>
      <w:r w:rsidRPr="00F95824">
        <w:rPr>
          <w:rFonts w:ascii="Times New Roman" w:hAnsi="Times New Roman" w:cs="Times New Roman"/>
          <w:sz w:val="24"/>
          <w:szCs w:val="24"/>
        </w:rPr>
        <w:t>, зерн</w:t>
      </w:r>
      <w:r w:rsidR="00FE60A5">
        <w:rPr>
          <w:rFonts w:ascii="Times New Roman" w:hAnsi="Times New Roman" w:cs="Times New Roman"/>
          <w:sz w:val="24"/>
          <w:szCs w:val="24"/>
        </w:rPr>
        <w:t>ом</w:t>
      </w:r>
      <w:r w:rsidRPr="00F95824">
        <w:rPr>
          <w:rFonts w:ascii="Times New Roman" w:hAnsi="Times New Roman" w:cs="Times New Roman"/>
          <w:sz w:val="24"/>
          <w:szCs w:val="24"/>
        </w:rPr>
        <w:t xml:space="preserve"> та продукт</w:t>
      </w:r>
      <w:r w:rsidR="00FE60A5">
        <w:rPr>
          <w:rFonts w:ascii="Times New Roman" w:hAnsi="Times New Roman" w:cs="Times New Roman"/>
          <w:sz w:val="24"/>
          <w:szCs w:val="24"/>
        </w:rPr>
        <w:t>ами</w:t>
      </w:r>
      <w:r w:rsidRPr="00F95824">
        <w:rPr>
          <w:rFonts w:ascii="Times New Roman" w:hAnsi="Times New Roman" w:cs="Times New Roman"/>
          <w:sz w:val="24"/>
          <w:szCs w:val="24"/>
        </w:rPr>
        <w:t xml:space="preserve"> його переробки) у морських торговельних портах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Чорноморськ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та Південний; зберігання (накопичення) вантажів на відкритих складських майданчиках, критих складських приміщеннях та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плав’ємностях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; надання послуг обслуговування суден (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бонування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); надання супутніх послуг </w:t>
      </w:r>
      <w:r w:rsidR="00FE60A5">
        <w:rPr>
          <w:rFonts w:ascii="Times New Roman" w:hAnsi="Times New Roman" w:cs="Times New Roman"/>
          <w:sz w:val="24"/>
          <w:szCs w:val="24"/>
        </w:rPr>
        <w:t>з</w:t>
      </w:r>
      <w:r w:rsidRPr="00F95824">
        <w:rPr>
          <w:rFonts w:ascii="Times New Roman" w:hAnsi="Times New Roman" w:cs="Times New Roman"/>
          <w:sz w:val="24"/>
          <w:szCs w:val="24"/>
        </w:rPr>
        <w:t xml:space="preserve"> обслуговуванн</w:t>
      </w:r>
      <w:r w:rsidR="00FE60A5">
        <w:rPr>
          <w:rFonts w:ascii="Times New Roman" w:hAnsi="Times New Roman" w:cs="Times New Roman"/>
          <w:sz w:val="24"/>
          <w:szCs w:val="24"/>
        </w:rPr>
        <w:t>я</w:t>
      </w:r>
      <w:r w:rsidRPr="00F95824">
        <w:rPr>
          <w:rFonts w:ascii="Times New Roman" w:hAnsi="Times New Roman" w:cs="Times New Roman"/>
          <w:sz w:val="24"/>
          <w:szCs w:val="24"/>
        </w:rPr>
        <w:t xml:space="preserve"> вантажів;</w:t>
      </w:r>
    </w:p>
    <w:p w:rsidR="003D33ED" w:rsidRPr="00F95824" w:rsidRDefault="003D33ED" w:rsidP="003D33ED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 xml:space="preserve">іншими суб’єктами господарювання – резидентами України, які здійснюють діяльність із: вирощування та оптової торгівлі зерновими та олійними культурами (пшеницею, ячменем, </w:t>
      </w:r>
      <w:r w:rsidRPr="00F95824">
        <w:rPr>
          <w:rFonts w:ascii="Times New Roman" w:hAnsi="Times New Roman" w:cs="Times New Roman"/>
          <w:sz w:val="24"/>
          <w:szCs w:val="24"/>
        </w:rPr>
        <w:lastRenderedPageBreak/>
        <w:t xml:space="preserve">ріпаком, кукурудзою, соняшником, просом); оптової торгівлі зерном; необробленим тютюном; насінням і кормами для тварин;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жмихом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та лушпинням; молочними продуктами; яйцями; харчовими оліями та жирами; зерновими, зернобобовими та олійними культурами (ріпаком, кукурудзою, соняшником, пшеницею, ячменем, квасолею, горохом, соєю, льоном, вівсом, сочевицею, просом); надання: послуг перевезення вантажів автомобільним транспортом та транспортно-експедиторських послуг, послуг митного брокера, агентування суден під іноземним прапором у портах Ізмаїл та Усть-Дунайський, складських послуг (діяльність зернового складу), сільськогосподарських послуг, послуг елеватора (переважно в межах Групи Покупця) та послуг з експедирування; надання в оренду: виробничих потужностей та нерухомості (</w:t>
      </w:r>
      <w:r w:rsidR="00FE60A5">
        <w:rPr>
          <w:rFonts w:ascii="Times New Roman" w:hAnsi="Times New Roman" w:cs="Times New Roman"/>
          <w:sz w:val="24"/>
          <w:szCs w:val="24"/>
        </w:rPr>
        <w:t>у</w:t>
      </w:r>
      <w:r w:rsidRPr="00F95824">
        <w:rPr>
          <w:rFonts w:ascii="Times New Roman" w:hAnsi="Times New Roman" w:cs="Times New Roman"/>
          <w:sz w:val="24"/>
          <w:szCs w:val="24"/>
        </w:rPr>
        <w:t xml:space="preserve"> межах Групи Покупця), сільськогосподарської техніки, нежитлової (офісної) нерухомості та земельної ділянки в межах Одеської області, автомобілів; будівництва комплексу споруд для зберігання та перевантаження зернових культур у порту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Чорноморськ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>;</w:t>
      </w:r>
      <w:r w:rsidRPr="00F95824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F95824">
        <w:rPr>
          <w:rFonts w:ascii="Times New Roman" w:hAnsi="Times New Roman" w:cs="Times New Roman"/>
          <w:sz w:val="24"/>
          <w:szCs w:val="24"/>
        </w:rPr>
        <w:t>видання журналів та періодичних видань (журнал «Порти України»); організації щорічних конгресів і торговельних виставок;</w:t>
      </w:r>
    </w:p>
    <w:p w:rsidR="003D33ED" w:rsidRPr="00F95824" w:rsidRDefault="003D33ED" w:rsidP="003D33ED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F95824">
        <w:rPr>
          <w:rFonts w:ascii="Times New Roman" w:hAnsi="Times New Roman" w:cs="Times New Roman"/>
          <w:sz w:val="24"/>
          <w:szCs w:val="24"/>
        </w:rPr>
        <w:t>суб’єктами господарювання – нерезидентами України, які здійснюють діяльність з управління корпоративними правами та не здійснюють господарської діяльності на території України;</w:t>
      </w:r>
    </w:p>
    <w:p w:rsidR="003D33ED" w:rsidRPr="00F95824" w:rsidRDefault="003D33ED" w:rsidP="003D33ED">
      <w:pPr>
        <w:tabs>
          <w:tab w:val="left" w:pos="0"/>
        </w:tabs>
        <w:overflowPunct w:val="0"/>
        <w:autoSpaceDE w:val="0"/>
        <w:autoSpaceDN w:val="0"/>
        <w:adjustRightInd w:val="0"/>
        <w:spacing w:after="20" w:line="240" w:lineRule="auto"/>
        <w:ind w:right="-1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F95824">
        <w:rPr>
          <w:rFonts w:ascii="Times New Roman" w:hAnsi="Times New Roman" w:cs="Times New Roman"/>
          <w:sz w:val="24"/>
          <w:szCs w:val="24"/>
        </w:rPr>
        <w:t>бенефіціарними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власниками Групи </w:t>
      </w:r>
      <w:proofErr w:type="spellStart"/>
      <w:r w:rsidRPr="00F95824">
        <w:rPr>
          <w:rFonts w:ascii="Times New Roman" w:hAnsi="Times New Roman" w:cs="Times New Roman"/>
          <w:sz w:val="24"/>
          <w:szCs w:val="24"/>
        </w:rPr>
        <w:t>Risoil</w:t>
      </w:r>
      <w:proofErr w:type="spellEnd"/>
      <w:r w:rsidRPr="00F95824">
        <w:rPr>
          <w:rFonts w:ascii="Times New Roman" w:hAnsi="Times New Roman" w:cs="Times New Roman"/>
          <w:sz w:val="24"/>
          <w:szCs w:val="24"/>
        </w:rPr>
        <w:t xml:space="preserve"> є фізичні особи – громадяни України </w:t>
      </w:r>
      <w:r>
        <w:rPr>
          <w:rFonts w:ascii="Times New Roman" w:hAnsi="Times New Roman" w:cs="Times New Roman"/>
          <w:sz w:val="24"/>
          <w:szCs w:val="24"/>
        </w:rPr>
        <w:t>та Грузії.</w:t>
      </w:r>
    </w:p>
    <w:p w:rsidR="00FD67D6" w:rsidRPr="007A5D34" w:rsidRDefault="00FD67D6" w:rsidP="00464BA8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C2010" w:rsidRPr="007A5D34" w:rsidRDefault="003C2010" w:rsidP="009E4B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D34">
        <w:rPr>
          <w:rFonts w:ascii="Times New Roman" w:hAnsi="Times New Roman" w:cs="Times New Roman"/>
          <w:sz w:val="24"/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6F78D5" w:rsidRPr="007A5D34" w:rsidRDefault="006F78D5" w:rsidP="008E5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76E62" w:rsidRPr="005E1D3F" w:rsidRDefault="00476E62" w:rsidP="008E5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A5D34">
        <w:rPr>
          <w:rFonts w:ascii="Times New Roman" w:hAnsi="Times New Roman" w:cs="Times New Roman"/>
          <w:sz w:val="24"/>
          <w:szCs w:val="24"/>
        </w:rPr>
        <w:t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</w:t>
      </w:r>
      <w:r w:rsidRPr="005E1D3F">
        <w:rPr>
          <w:rFonts w:ascii="Times New Roman" w:hAnsi="Times New Roman" w:cs="Times New Roman"/>
          <w:sz w:val="24"/>
          <w:szCs w:val="24"/>
        </w:rPr>
        <w:t xml:space="preserve">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14-рп), Антимонопольний комітет України </w:t>
      </w:r>
    </w:p>
    <w:p w:rsidR="00476E62" w:rsidRPr="005E1D3F" w:rsidRDefault="00476E62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</w:p>
    <w:p w:rsidR="00D14074" w:rsidRPr="005E1D3F" w:rsidRDefault="00D14074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1D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ПОСТАНОВИВ: </w:t>
      </w:r>
    </w:p>
    <w:p w:rsidR="00527DE1" w:rsidRPr="005E1D3F" w:rsidRDefault="00527DE1" w:rsidP="008E5A75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14074" w:rsidRPr="00956E5A" w:rsidRDefault="00350045" w:rsidP="008E5A7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 дозвіл товариству з обмеженою відповідальністю «</w:t>
      </w:r>
      <w:proofErr w:type="spellStart"/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>Рисоіл</w:t>
      </w:r>
      <w:proofErr w:type="spellEnd"/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>-Херсон»                    (м. Київ, Україна</w:t>
      </w:r>
      <w:r w:rsidR="003D33ED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, ідентифікаційний код юридичної особи</w:t>
      </w:r>
      <w:r w:rsid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43357003</w:t>
      </w:r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на </w:t>
      </w:r>
      <w:r w:rsidR="00B129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опосередковане набуття контролю, шляхом </w:t>
      </w:r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одержання </w:t>
      </w:r>
      <w:r w:rsidR="00FE60A5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концесію</w:t>
      </w:r>
      <w:r w:rsidR="00B1299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</w:t>
      </w:r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</w:t>
      </w:r>
      <w:r w:rsidR="00B1299F">
        <w:rPr>
          <w:rFonts w:ascii="Times New Roman" w:eastAsia="Times New Roman" w:hAnsi="Times New Roman" w:cs="Times New Roman"/>
          <w:sz w:val="24"/>
          <w:szCs w:val="24"/>
          <w:lang w:eastAsia="ru-RU"/>
        </w:rPr>
        <w:t>ами</w:t>
      </w:r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вигляді єдиного майнового комплексу, що належать державному підприємству «Херсонський Морський Торговельний Порт» (м. Херсон, Україна</w:t>
      </w:r>
      <w:r w:rsidR="003D33ED" w:rsidRPr="008E7B0F">
        <w:rPr>
          <w:rFonts w:ascii="Times New Roman" w:eastAsia="Times New Roman" w:hAnsi="Times New Roman" w:cs="Times New Roman"/>
          <w:sz w:val="24"/>
          <w:szCs w:val="24"/>
          <w:lang w:eastAsia="ru-RU"/>
        </w:rPr>
        <w:t>, ідентифікаційний код юридичної особи</w:t>
      </w:r>
      <w:r w:rsid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613B3" w:rsidRPr="008613B3">
        <w:rPr>
          <w:rFonts w:ascii="Times New Roman" w:eastAsia="Times New Roman" w:hAnsi="Times New Roman" w:cs="Times New Roman"/>
          <w:sz w:val="24"/>
          <w:szCs w:val="24"/>
          <w:lang w:eastAsia="ru-RU"/>
        </w:rPr>
        <w:t>1125695</w:t>
      </w:r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і державному підприємству «Адміністрація морських портів України» (м. Київ, Україна, ідентифікаційний код юридичної особи </w:t>
      </w:r>
      <w:r w:rsidR="008613B3" w:rsidRPr="008613B3">
        <w:rPr>
          <w:rFonts w:ascii="Times New Roman" w:eastAsia="Times New Roman" w:hAnsi="Times New Roman" w:cs="Times New Roman"/>
          <w:sz w:val="24"/>
          <w:szCs w:val="24"/>
          <w:lang w:eastAsia="ru-RU"/>
        </w:rPr>
        <w:t>38727770</w:t>
      </w:r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та разом забезпечують здійснення господарської діяльності з надання </w:t>
      </w:r>
      <w:proofErr w:type="spellStart"/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стивідорних</w:t>
      </w:r>
      <w:proofErr w:type="spellEnd"/>
      <w:r w:rsidR="003D33ED" w:rsidRPr="003D33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послуг у морському порту Херсон</w:t>
      </w:r>
      <w:r w:rsidR="0076289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50045" w:rsidRPr="0018053A" w:rsidRDefault="00350045" w:rsidP="0035004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18053A">
        <w:rPr>
          <w:rFonts w:ascii="Times New Roman" w:hAnsi="Times New Roman" w:cs="Times New Roman"/>
        </w:rPr>
        <w:t xml:space="preserve">2. </w:t>
      </w:r>
      <w:r>
        <w:rPr>
          <w:rFonts w:ascii="Times New Roman" w:hAnsi="Times New Roman" w:cs="Times New Roman"/>
        </w:rPr>
        <w:t>Концентрація може бути здійснена протягом 24 місяців.</w:t>
      </w:r>
    </w:p>
    <w:p w:rsidR="005251FC" w:rsidRPr="0060338D" w:rsidRDefault="005251FC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8E5A75" w:rsidRPr="0060338D" w:rsidRDefault="008E5A75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9E4BE5" w:rsidRPr="0060338D" w:rsidRDefault="009E4BE5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60338D" w:rsidRPr="0060338D" w:rsidRDefault="0060338D" w:rsidP="004715D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8E5A75" w:rsidRPr="00AA51F2" w:rsidRDefault="008E5A75" w:rsidP="008E5A75">
      <w:pPr>
        <w:tabs>
          <w:tab w:val="left" w:pos="7371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</w:t>
      </w:r>
      <w:r w:rsidR="00AA51F2" w:rsidRPr="00AA51F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Комітету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A51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</w:t>
      </w:r>
      <w:r w:rsidRPr="00D140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6033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415C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A51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Ю</w:t>
      </w:r>
      <w:r w:rsidR="006B124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="00AA51F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ТЕРЕНТЬЄВ</w:t>
      </w:r>
    </w:p>
    <w:sectPr w:rsidR="008E5A75" w:rsidRPr="00AA51F2" w:rsidSect="008A16ED">
      <w:headerReference w:type="default" r:id="rId9"/>
      <w:pgSz w:w="11906" w:h="16838"/>
      <w:pgMar w:top="993" w:right="567" w:bottom="1134" w:left="1701" w:header="850" w:footer="8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C83" w:rsidRDefault="00132C83">
      <w:pPr>
        <w:spacing w:after="0" w:line="240" w:lineRule="auto"/>
      </w:pPr>
      <w:r>
        <w:separator/>
      </w:r>
    </w:p>
  </w:endnote>
  <w:endnote w:type="continuationSeparator" w:id="0">
    <w:p w:rsidR="00132C83" w:rsidRDefault="00132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C83" w:rsidRDefault="00132C83">
      <w:pPr>
        <w:spacing w:after="0" w:line="240" w:lineRule="auto"/>
      </w:pPr>
      <w:r>
        <w:separator/>
      </w:r>
    </w:p>
  </w:footnote>
  <w:footnote w:type="continuationSeparator" w:id="0">
    <w:p w:rsidR="00132C83" w:rsidRDefault="00132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B1299F" w:rsidRPr="008330EC" w:rsidRDefault="00B1299F" w:rsidP="008A16ED">
        <w:pPr>
          <w:pStyle w:val="a3"/>
          <w:jc w:val="center"/>
          <w:rPr>
            <w:sz w:val="10"/>
            <w:szCs w:val="10"/>
          </w:rPr>
        </w:pPr>
      </w:p>
      <w:p w:rsidR="00B1299F" w:rsidRDefault="00B1299F" w:rsidP="008A16E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26E1" w:rsidRPr="006926E1">
          <w:rPr>
            <w:noProof/>
            <w:lang w:val="ru-RU"/>
          </w:rPr>
          <w:t>3</w:t>
        </w:r>
        <w:r>
          <w:fldChar w:fldCharType="end"/>
        </w:r>
      </w:p>
      <w:p w:rsidR="00B1299F" w:rsidRPr="008330EC" w:rsidRDefault="00132C83" w:rsidP="008A16ED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6A6"/>
    <w:rsid w:val="00005AD9"/>
    <w:rsid w:val="00021458"/>
    <w:rsid w:val="00031668"/>
    <w:rsid w:val="00033BFC"/>
    <w:rsid w:val="00042832"/>
    <w:rsid w:val="000456B8"/>
    <w:rsid w:val="00060A44"/>
    <w:rsid w:val="00066859"/>
    <w:rsid w:val="00073A3C"/>
    <w:rsid w:val="000833F9"/>
    <w:rsid w:val="00083952"/>
    <w:rsid w:val="000A7FAF"/>
    <w:rsid w:val="000E548A"/>
    <w:rsid w:val="000F22EF"/>
    <w:rsid w:val="000F6264"/>
    <w:rsid w:val="00105270"/>
    <w:rsid w:val="00132C83"/>
    <w:rsid w:val="00154DE0"/>
    <w:rsid w:val="00196102"/>
    <w:rsid w:val="001A7B84"/>
    <w:rsid w:val="001C6CFF"/>
    <w:rsid w:val="001E03ED"/>
    <w:rsid w:val="001E7FCC"/>
    <w:rsid w:val="00212317"/>
    <w:rsid w:val="0021647A"/>
    <w:rsid w:val="00217537"/>
    <w:rsid w:val="002722AF"/>
    <w:rsid w:val="0029315C"/>
    <w:rsid w:val="00294D93"/>
    <w:rsid w:val="002B16A6"/>
    <w:rsid w:val="002B2682"/>
    <w:rsid w:val="002B529C"/>
    <w:rsid w:val="002C7BE6"/>
    <w:rsid w:val="002F144C"/>
    <w:rsid w:val="002F521F"/>
    <w:rsid w:val="002F65C3"/>
    <w:rsid w:val="00307CDC"/>
    <w:rsid w:val="0031326E"/>
    <w:rsid w:val="003224C9"/>
    <w:rsid w:val="00322A53"/>
    <w:rsid w:val="003257FB"/>
    <w:rsid w:val="00350045"/>
    <w:rsid w:val="00364607"/>
    <w:rsid w:val="003667D7"/>
    <w:rsid w:val="00385B18"/>
    <w:rsid w:val="00385FC9"/>
    <w:rsid w:val="003873FB"/>
    <w:rsid w:val="003A0215"/>
    <w:rsid w:val="003C2010"/>
    <w:rsid w:val="003D33ED"/>
    <w:rsid w:val="003E37CE"/>
    <w:rsid w:val="003E7944"/>
    <w:rsid w:val="00415CE6"/>
    <w:rsid w:val="00415D5B"/>
    <w:rsid w:val="00416C84"/>
    <w:rsid w:val="004174FC"/>
    <w:rsid w:val="00424E9D"/>
    <w:rsid w:val="00427803"/>
    <w:rsid w:val="00435ED8"/>
    <w:rsid w:val="0045256C"/>
    <w:rsid w:val="00461CC0"/>
    <w:rsid w:val="004625DA"/>
    <w:rsid w:val="00464BA8"/>
    <w:rsid w:val="004715D9"/>
    <w:rsid w:val="00473FFC"/>
    <w:rsid w:val="004759B0"/>
    <w:rsid w:val="00476E62"/>
    <w:rsid w:val="00477C30"/>
    <w:rsid w:val="004964AA"/>
    <w:rsid w:val="004A11B5"/>
    <w:rsid w:val="004A219E"/>
    <w:rsid w:val="004B0E1D"/>
    <w:rsid w:val="004B2335"/>
    <w:rsid w:val="004C5C9A"/>
    <w:rsid w:val="004E0BB6"/>
    <w:rsid w:val="00501E9F"/>
    <w:rsid w:val="005069B9"/>
    <w:rsid w:val="00514183"/>
    <w:rsid w:val="005251FC"/>
    <w:rsid w:val="00527DE1"/>
    <w:rsid w:val="00533525"/>
    <w:rsid w:val="00534A2E"/>
    <w:rsid w:val="00542686"/>
    <w:rsid w:val="00563D85"/>
    <w:rsid w:val="00563F30"/>
    <w:rsid w:val="005700F9"/>
    <w:rsid w:val="00576269"/>
    <w:rsid w:val="00584A55"/>
    <w:rsid w:val="005857F8"/>
    <w:rsid w:val="00591E4E"/>
    <w:rsid w:val="005C4CF5"/>
    <w:rsid w:val="005D0404"/>
    <w:rsid w:val="005E1D3F"/>
    <w:rsid w:val="0060338D"/>
    <w:rsid w:val="006218C2"/>
    <w:rsid w:val="00621C31"/>
    <w:rsid w:val="00644353"/>
    <w:rsid w:val="00656BEB"/>
    <w:rsid w:val="00680F37"/>
    <w:rsid w:val="006926E1"/>
    <w:rsid w:val="006A3E87"/>
    <w:rsid w:val="006B124D"/>
    <w:rsid w:val="006B1878"/>
    <w:rsid w:val="006B7EDD"/>
    <w:rsid w:val="006E3010"/>
    <w:rsid w:val="006E5FB4"/>
    <w:rsid w:val="006F5FD5"/>
    <w:rsid w:val="006F78D5"/>
    <w:rsid w:val="00710501"/>
    <w:rsid w:val="007564CA"/>
    <w:rsid w:val="00762890"/>
    <w:rsid w:val="007651F4"/>
    <w:rsid w:val="007677E4"/>
    <w:rsid w:val="00774029"/>
    <w:rsid w:val="00791C0F"/>
    <w:rsid w:val="00796AED"/>
    <w:rsid w:val="007A5D34"/>
    <w:rsid w:val="007B5005"/>
    <w:rsid w:val="007B7E61"/>
    <w:rsid w:val="007D368C"/>
    <w:rsid w:val="007E6E4B"/>
    <w:rsid w:val="008005E2"/>
    <w:rsid w:val="00803A33"/>
    <w:rsid w:val="008118A8"/>
    <w:rsid w:val="00812FBA"/>
    <w:rsid w:val="00837D1C"/>
    <w:rsid w:val="00842EE2"/>
    <w:rsid w:val="008613B3"/>
    <w:rsid w:val="00880CAE"/>
    <w:rsid w:val="008A16ED"/>
    <w:rsid w:val="008B16E6"/>
    <w:rsid w:val="008D0E67"/>
    <w:rsid w:val="008E3DD8"/>
    <w:rsid w:val="008E5A75"/>
    <w:rsid w:val="008F56A2"/>
    <w:rsid w:val="00913BC6"/>
    <w:rsid w:val="00920B3A"/>
    <w:rsid w:val="00931E16"/>
    <w:rsid w:val="00956E5A"/>
    <w:rsid w:val="009702A9"/>
    <w:rsid w:val="00970E75"/>
    <w:rsid w:val="00997D28"/>
    <w:rsid w:val="009C28D2"/>
    <w:rsid w:val="009D1406"/>
    <w:rsid w:val="009E0E3F"/>
    <w:rsid w:val="009E4BE5"/>
    <w:rsid w:val="00A0356C"/>
    <w:rsid w:val="00A806A1"/>
    <w:rsid w:val="00A839BF"/>
    <w:rsid w:val="00A84D59"/>
    <w:rsid w:val="00A93151"/>
    <w:rsid w:val="00A97CF6"/>
    <w:rsid w:val="00AA51F2"/>
    <w:rsid w:val="00AC76A9"/>
    <w:rsid w:val="00AD4520"/>
    <w:rsid w:val="00AE1DF4"/>
    <w:rsid w:val="00AE7CD1"/>
    <w:rsid w:val="00AF04D1"/>
    <w:rsid w:val="00AF4883"/>
    <w:rsid w:val="00B06806"/>
    <w:rsid w:val="00B1299F"/>
    <w:rsid w:val="00B1498E"/>
    <w:rsid w:val="00B14DE4"/>
    <w:rsid w:val="00B31DC6"/>
    <w:rsid w:val="00B37CF3"/>
    <w:rsid w:val="00B40148"/>
    <w:rsid w:val="00B53D0E"/>
    <w:rsid w:val="00B660D0"/>
    <w:rsid w:val="00B804FF"/>
    <w:rsid w:val="00B8190A"/>
    <w:rsid w:val="00BA3C42"/>
    <w:rsid w:val="00BC4AD1"/>
    <w:rsid w:val="00BC6CEA"/>
    <w:rsid w:val="00BD4EDA"/>
    <w:rsid w:val="00BD7008"/>
    <w:rsid w:val="00BF6FBF"/>
    <w:rsid w:val="00C363F3"/>
    <w:rsid w:val="00C40391"/>
    <w:rsid w:val="00C719CF"/>
    <w:rsid w:val="00C71BEF"/>
    <w:rsid w:val="00C82FC7"/>
    <w:rsid w:val="00CA2388"/>
    <w:rsid w:val="00CA70F6"/>
    <w:rsid w:val="00CD7853"/>
    <w:rsid w:val="00CE07C9"/>
    <w:rsid w:val="00D12B91"/>
    <w:rsid w:val="00D14074"/>
    <w:rsid w:val="00D34290"/>
    <w:rsid w:val="00D61A92"/>
    <w:rsid w:val="00D70915"/>
    <w:rsid w:val="00D75A73"/>
    <w:rsid w:val="00D767A1"/>
    <w:rsid w:val="00D821AB"/>
    <w:rsid w:val="00D87253"/>
    <w:rsid w:val="00D96935"/>
    <w:rsid w:val="00DB48F9"/>
    <w:rsid w:val="00DC29D3"/>
    <w:rsid w:val="00DD31A7"/>
    <w:rsid w:val="00DF452D"/>
    <w:rsid w:val="00E24B30"/>
    <w:rsid w:val="00E46534"/>
    <w:rsid w:val="00E54D8F"/>
    <w:rsid w:val="00E717B1"/>
    <w:rsid w:val="00E74C54"/>
    <w:rsid w:val="00E90DAC"/>
    <w:rsid w:val="00E95260"/>
    <w:rsid w:val="00EA51B2"/>
    <w:rsid w:val="00EA5D4C"/>
    <w:rsid w:val="00EA62C3"/>
    <w:rsid w:val="00EC134C"/>
    <w:rsid w:val="00EC36CF"/>
    <w:rsid w:val="00EE1BD7"/>
    <w:rsid w:val="00EE56F4"/>
    <w:rsid w:val="00F247D3"/>
    <w:rsid w:val="00F319EC"/>
    <w:rsid w:val="00F44951"/>
    <w:rsid w:val="00F61326"/>
    <w:rsid w:val="00F67B7E"/>
    <w:rsid w:val="00F7332D"/>
    <w:rsid w:val="00F85456"/>
    <w:rsid w:val="00FA6ABB"/>
    <w:rsid w:val="00FB5EC7"/>
    <w:rsid w:val="00FD67D6"/>
    <w:rsid w:val="00FE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074"/>
    <w:rPr>
      <w:lang w:val="uk-UA"/>
    </w:rPr>
  </w:style>
  <w:style w:type="paragraph" w:styleId="1">
    <w:name w:val="heading 1"/>
    <w:basedOn w:val="a"/>
    <w:link w:val="10"/>
    <w:uiPriority w:val="9"/>
    <w:qFormat/>
    <w:rsid w:val="00F449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07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14074"/>
    <w:rPr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D14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14074"/>
    <w:rPr>
      <w:rFonts w:ascii="Tahoma" w:hAnsi="Tahoma" w:cs="Tahoma"/>
      <w:sz w:val="16"/>
      <w:szCs w:val="16"/>
      <w:lang w:val="uk-UA"/>
    </w:rPr>
  </w:style>
  <w:style w:type="paragraph" w:styleId="2">
    <w:name w:val="Body Text Indent 2"/>
    <w:basedOn w:val="a"/>
    <w:link w:val="20"/>
    <w:uiPriority w:val="99"/>
    <w:rsid w:val="00576269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57626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7">
    <w:name w:val="Основной текст_"/>
    <w:link w:val="4"/>
    <w:rsid w:val="00FB5EC7"/>
    <w:rPr>
      <w:sz w:val="21"/>
      <w:szCs w:val="21"/>
      <w:shd w:val="clear" w:color="auto" w:fill="FFFFFF"/>
    </w:rPr>
  </w:style>
  <w:style w:type="character" w:customStyle="1" w:styleId="11">
    <w:name w:val="Основной текст1"/>
    <w:rsid w:val="00FB5E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uk-UA"/>
    </w:rPr>
  </w:style>
  <w:style w:type="paragraph" w:customStyle="1" w:styleId="4">
    <w:name w:val="Основной текст4"/>
    <w:basedOn w:val="a"/>
    <w:link w:val="a7"/>
    <w:rsid w:val="00FB5EC7"/>
    <w:pPr>
      <w:widowControl w:val="0"/>
      <w:shd w:val="clear" w:color="auto" w:fill="FFFFFF"/>
      <w:spacing w:before="360" w:after="240" w:line="250" w:lineRule="exact"/>
      <w:ind w:hanging="1380"/>
    </w:pPr>
    <w:rPr>
      <w:sz w:val="21"/>
      <w:szCs w:val="21"/>
      <w:lang w:val="ru-RU"/>
    </w:rPr>
  </w:style>
  <w:style w:type="character" w:customStyle="1" w:styleId="10">
    <w:name w:val="Заголовок 1 Знак"/>
    <w:basedOn w:val="a0"/>
    <w:link w:val="1"/>
    <w:uiPriority w:val="9"/>
    <w:rsid w:val="00F449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footer"/>
    <w:basedOn w:val="a"/>
    <w:link w:val="a9"/>
    <w:uiPriority w:val="99"/>
    <w:rsid w:val="008E5A75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9">
    <w:name w:val="Нижний колонтитул Знак"/>
    <w:basedOn w:val="a0"/>
    <w:link w:val="a8"/>
    <w:uiPriority w:val="99"/>
    <w:rsid w:val="008E5A75"/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3">
    <w:name w:val="Основной текст3"/>
    <w:rsid w:val="008E5A7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5E5F4F-A730-4406-A60E-13032F98A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1281</Words>
  <Characters>7303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Пашківська Оксана Анатоліївна</dc:creator>
  <cp:lastModifiedBy>Тітенко Вікторія Ігорівна</cp:lastModifiedBy>
  <cp:revision>2</cp:revision>
  <cp:lastPrinted>2020-03-12T13:17:00Z</cp:lastPrinted>
  <dcterms:created xsi:type="dcterms:W3CDTF">2020-03-13T09:17:00Z</dcterms:created>
  <dcterms:modified xsi:type="dcterms:W3CDTF">2020-03-13T09:17:00Z</dcterms:modified>
</cp:coreProperties>
</file>