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6F0" w:rsidRPr="00D8321A" w:rsidRDefault="00456D85" w:rsidP="003936F0">
      <w:pPr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inline distT="0" distB="0" distL="0" distR="0">
            <wp:extent cx="607060" cy="68008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060" cy="680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36F0" w:rsidRPr="00D51590" w:rsidRDefault="003936F0" w:rsidP="003936F0">
      <w:pPr>
        <w:jc w:val="center"/>
        <w:rPr>
          <w:b/>
          <w:sz w:val="32"/>
          <w:szCs w:val="32"/>
          <w:lang w:val="ru-RU"/>
        </w:rPr>
      </w:pPr>
      <w:r w:rsidRPr="00D51590">
        <w:rPr>
          <w:b/>
          <w:sz w:val="32"/>
          <w:szCs w:val="32"/>
          <w:lang w:val="ru-RU"/>
        </w:rPr>
        <w:t>АНТИМОНОПОЛЬНИЙ   КОМІТЕТ   УКРАЇНИ</w:t>
      </w:r>
    </w:p>
    <w:p w:rsidR="003936F0" w:rsidRPr="00D51590" w:rsidRDefault="003936F0" w:rsidP="003936F0">
      <w:pPr>
        <w:tabs>
          <w:tab w:val="left" w:leader="hyphen" w:pos="10206"/>
        </w:tabs>
        <w:jc w:val="center"/>
        <w:rPr>
          <w:sz w:val="32"/>
          <w:szCs w:val="32"/>
        </w:rPr>
      </w:pPr>
    </w:p>
    <w:p w:rsidR="003936F0" w:rsidRPr="00C26774" w:rsidRDefault="003936F0" w:rsidP="003936F0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 w:rsidRPr="00C26774">
        <w:rPr>
          <w:b/>
          <w:sz w:val="32"/>
          <w:szCs w:val="32"/>
        </w:rPr>
        <w:t>РІШЕННЯ</w:t>
      </w:r>
    </w:p>
    <w:p w:rsidR="003936F0" w:rsidRPr="00295AD8" w:rsidRDefault="003936F0" w:rsidP="003936F0">
      <w:pPr>
        <w:tabs>
          <w:tab w:val="left" w:leader="hyphen" w:pos="10206"/>
        </w:tabs>
        <w:jc w:val="center"/>
        <w:rPr>
          <w:sz w:val="20"/>
          <w:szCs w:val="20"/>
        </w:rPr>
      </w:pPr>
    </w:p>
    <w:p w:rsidR="00771493" w:rsidRDefault="00771493" w:rsidP="00795DC5">
      <w:pPr>
        <w:tabs>
          <w:tab w:val="left" w:leader="hyphen" w:pos="10206"/>
        </w:tabs>
        <w:rPr>
          <w:bCs/>
          <w:sz w:val="22"/>
          <w:szCs w:val="22"/>
        </w:rPr>
      </w:pPr>
    </w:p>
    <w:p w:rsidR="00F026B0" w:rsidRDefault="00651536" w:rsidP="009675B9">
      <w:pPr>
        <w:tabs>
          <w:tab w:val="left" w:leader="hyphen" w:pos="10206"/>
        </w:tabs>
      </w:pPr>
      <w:r>
        <w:rPr>
          <w:bCs/>
          <w:lang w:val="ru-RU"/>
        </w:rPr>
        <w:t>19 березня</w:t>
      </w:r>
      <w:r w:rsidR="009F5D41">
        <w:rPr>
          <w:bCs/>
        </w:rPr>
        <w:t xml:space="preserve"> </w:t>
      </w:r>
      <w:r w:rsidR="000C548E">
        <w:rPr>
          <w:bCs/>
        </w:rPr>
        <w:t>20</w:t>
      </w:r>
      <w:r w:rsidR="009F5D41">
        <w:rPr>
          <w:bCs/>
        </w:rPr>
        <w:t>20</w:t>
      </w:r>
      <w:r w:rsidR="003936F0">
        <w:rPr>
          <w:bCs/>
        </w:rPr>
        <w:t xml:space="preserve"> р.</w:t>
      </w:r>
      <w:r w:rsidR="003936F0" w:rsidRPr="00D8321A">
        <w:t xml:space="preserve">   </w:t>
      </w:r>
      <w:r w:rsidR="00612E4B">
        <w:t xml:space="preserve">  </w:t>
      </w:r>
      <w:r w:rsidR="003936F0" w:rsidRPr="00D8321A">
        <w:t xml:space="preserve">          </w:t>
      </w:r>
      <w:r w:rsidR="003936F0">
        <w:t xml:space="preserve">         </w:t>
      </w:r>
      <w:r w:rsidR="00A226CC">
        <w:t xml:space="preserve"> </w:t>
      </w:r>
      <w:r w:rsidR="00573BA1">
        <w:t xml:space="preserve"> </w:t>
      </w:r>
      <w:r w:rsidR="00A226CC">
        <w:t xml:space="preserve">    </w:t>
      </w:r>
      <w:r w:rsidR="003936F0">
        <w:t xml:space="preserve">      </w:t>
      </w:r>
      <w:r w:rsidR="001B5B0A">
        <w:t xml:space="preserve"> </w:t>
      </w:r>
      <w:r w:rsidR="00795DC5">
        <w:t xml:space="preserve"> </w:t>
      </w:r>
      <w:r w:rsidR="00ED5F8A">
        <w:t xml:space="preserve"> </w:t>
      </w:r>
      <w:r w:rsidR="00771493">
        <w:t xml:space="preserve"> </w:t>
      </w:r>
      <w:r w:rsidR="00364F3F">
        <w:t xml:space="preserve">      </w:t>
      </w:r>
      <w:r w:rsidR="003936F0" w:rsidRPr="00D8321A">
        <w:t>Київ</w:t>
      </w:r>
      <w:r w:rsidR="003936F0">
        <w:t xml:space="preserve">                          </w:t>
      </w:r>
      <w:r w:rsidR="00A234F1">
        <w:t xml:space="preserve">  </w:t>
      </w:r>
      <w:r w:rsidR="00364F3F">
        <w:t xml:space="preserve">  </w:t>
      </w:r>
      <w:r w:rsidR="003936F0">
        <w:t xml:space="preserve">    </w:t>
      </w:r>
      <w:r w:rsidR="00EE6861">
        <w:t xml:space="preserve"> </w:t>
      </w:r>
      <w:r w:rsidR="003936F0">
        <w:t xml:space="preserve">           </w:t>
      </w:r>
      <w:r w:rsidR="00A175BD">
        <w:t xml:space="preserve">  </w:t>
      </w:r>
      <w:r w:rsidR="009F5D41">
        <w:t xml:space="preserve"> </w:t>
      </w:r>
      <w:r w:rsidR="007415A6">
        <w:t xml:space="preserve">   </w:t>
      </w:r>
      <w:r w:rsidR="003936F0">
        <w:t xml:space="preserve">  </w:t>
      </w:r>
      <w:r w:rsidR="00157398">
        <w:t xml:space="preserve"> </w:t>
      </w:r>
      <w:r w:rsidR="003936F0">
        <w:t xml:space="preserve"> </w:t>
      </w:r>
      <w:r w:rsidR="009675B9">
        <w:t xml:space="preserve"> </w:t>
      </w:r>
      <w:r w:rsidR="007A4C9D">
        <w:t xml:space="preserve"> </w:t>
      </w:r>
      <w:r w:rsidR="003936F0">
        <w:t>№</w:t>
      </w:r>
      <w:r w:rsidR="009C3FDC">
        <w:t xml:space="preserve"> </w:t>
      </w:r>
      <w:r w:rsidR="005F3958">
        <w:rPr>
          <w:lang w:val="ru-RU"/>
        </w:rPr>
        <w:t>178</w:t>
      </w:r>
      <w:r w:rsidR="007415A6">
        <w:t>-р</w:t>
      </w:r>
    </w:p>
    <w:p w:rsidR="009675B9" w:rsidRDefault="009675B9" w:rsidP="009675B9">
      <w:pPr>
        <w:tabs>
          <w:tab w:val="left" w:leader="hyphen" w:pos="10206"/>
        </w:tabs>
        <w:rPr>
          <w:sz w:val="32"/>
          <w:szCs w:val="32"/>
        </w:rPr>
      </w:pPr>
    </w:p>
    <w:p w:rsidR="000C1EED" w:rsidRDefault="000C1EED" w:rsidP="003D2304">
      <w:pPr>
        <w:jc w:val="both"/>
      </w:pPr>
    </w:p>
    <w:p w:rsidR="009C0ADD" w:rsidRDefault="009C0ADD" w:rsidP="003D2304">
      <w:pPr>
        <w:jc w:val="both"/>
      </w:pPr>
    </w:p>
    <w:p w:rsidR="00EE6861" w:rsidRDefault="00EE6861" w:rsidP="003D2304">
      <w:pPr>
        <w:jc w:val="both"/>
      </w:pPr>
    </w:p>
    <w:p w:rsidR="009B5B0A" w:rsidRPr="007E5323" w:rsidRDefault="006F788D" w:rsidP="003D2304">
      <w:pPr>
        <w:jc w:val="both"/>
      </w:pPr>
      <w:r w:rsidRPr="007E5323">
        <w:t>П</w:t>
      </w:r>
      <w:r w:rsidR="009B5B0A" w:rsidRPr="007E5323">
        <w:t>ро надання дозволу</w:t>
      </w:r>
    </w:p>
    <w:p w:rsidR="009B5B0A" w:rsidRPr="007E5323" w:rsidRDefault="009B5B0A" w:rsidP="003D2304">
      <w:pPr>
        <w:jc w:val="both"/>
      </w:pPr>
      <w:r w:rsidRPr="007E5323">
        <w:t>на концентрацію</w:t>
      </w:r>
    </w:p>
    <w:p w:rsidR="007E5323" w:rsidRPr="00BA3BB1" w:rsidRDefault="007E5323" w:rsidP="002B4EA7">
      <w:pPr>
        <w:jc w:val="both"/>
        <w:rPr>
          <w:sz w:val="22"/>
          <w:szCs w:val="22"/>
        </w:rPr>
      </w:pPr>
    </w:p>
    <w:p w:rsidR="006E5055" w:rsidRPr="006E5055" w:rsidRDefault="00E32FC7" w:rsidP="00651536">
      <w:pPr>
        <w:ind w:firstLine="720"/>
        <w:jc w:val="both"/>
      </w:pPr>
      <w:r w:rsidRPr="007E5323">
        <w:t>Антимонопольн</w:t>
      </w:r>
      <w:r w:rsidR="00FF30C3" w:rsidRPr="007E5323">
        <w:t>ий комітет</w:t>
      </w:r>
      <w:r w:rsidRPr="007E5323">
        <w:t xml:space="preserve"> України</w:t>
      </w:r>
      <w:r w:rsidR="00FF30C3" w:rsidRPr="007E5323">
        <w:t xml:space="preserve">, розглянувши заяву </w:t>
      </w:r>
      <w:r w:rsidR="009F5D41" w:rsidRPr="009F5D41">
        <w:t xml:space="preserve">уповноважених представників компанії «Dragon Capital Investments Limited» (м. Нікосія, Кіпр) та компанії  «Сур </w:t>
      </w:r>
      <w:r w:rsidR="009F5D41" w:rsidRPr="009F5D41">
        <w:rPr>
          <w:lang w:val="en-US"/>
        </w:rPr>
        <w:t>Rose</w:t>
      </w:r>
      <w:r w:rsidR="009F5D41" w:rsidRPr="00651536">
        <w:t xml:space="preserve"> </w:t>
      </w:r>
      <w:r w:rsidR="009F5D41" w:rsidRPr="009F5D41">
        <w:rPr>
          <w:lang w:val="en-US"/>
        </w:rPr>
        <w:t>Holding</w:t>
      </w:r>
      <w:r w:rsidR="009F5D41" w:rsidRPr="00651536">
        <w:t xml:space="preserve"> </w:t>
      </w:r>
      <w:r w:rsidR="009F5D41" w:rsidRPr="009F5D41">
        <w:rPr>
          <w:lang w:val="en-US"/>
        </w:rPr>
        <w:t>Limited</w:t>
      </w:r>
      <w:r w:rsidR="009F5D41" w:rsidRPr="009F5D41">
        <w:t>»</w:t>
      </w:r>
      <w:r w:rsidR="009F5D41" w:rsidRPr="00651536">
        <w:t xml:space="preserve"> </w:t>
      </w:r>
      <w:r w:rsidR="009F5D41" w:rsidRPr="009F5D41">
        <w:t>(</w:t>
      </w:r>
      <w:r w:rsidR="009F5D41" w:rsidRPr="00651536">
        <w:t xml:space="preserve">м. </w:t>
      </w:r>
      <w:r w:rsidR="009F5D41" w:rsidRPr="009F5D41">
        <w:t xml:space="preserve">Лімасол, Кіпр) </w:t>
      </w:r>
      <w:r w:rsidR="000C5685" w:rsidRPr="00700B42">
        <w:t xml:space="preserve"> </w:t>
      </w:r>
      <w:r w:rsidR="007415A6">
        <w:t xml:space="preserve">про надання дозволу </w:t>
      </w:r>
      <w:r w:rsidR="009F5D41" w:rsidRPr="009F5D41">
        <w:t xml:space="preserve">компанії «Dragon Capital Investments Limited» на опосередковане придбання акцій компанії «Сур </w:t>
      </w:r>
      <w:r w:rsidR="009F5D41" w:rsidRPr="009F5D41">
        <w:rPr>
          <w:lang w:val="en-US"/>
        </w:rPr>
        <w:t>Rose</w:t>
      </w:r>
      <w:r w:rsidR="009F5D41" w:rsidRPr="00651536">
        <w:t xml:space="preserve"> </w:t>
      </w:r>
      <w:r w:rsidR="009F5D41" w:rsidRPr="009F5D41">
        <w:rPr>
          <w:lang w:val="en-US"/>
        </w:rPr>
        <w:t>Holding</w:t>
      </w:r>
      <w:r w:rsidR="009F5D41" w:rsidRPr="00651536">
        <w:t xml:space="preserve"> </w:t>
      </w:r>
      <w:r w:rsidR="009F5D41" w:rsidRPr="009F5D41">
        <w:rPr>
          <w:lang w:val="en-US"/>
        </w:rPr>
        <w:t>Limited</w:t>
      </w:r>
      <w:r w:rsidR="009F5D41" w:rsidRPr="009F5D41">
        <w:t>»</w:t>
      </w:r>
      <w:r w:rsidR="006E5055" w:rsidRPr="006E5055">
        <w:t xml:space="preserve">, </w:t>
      </w:r>
    </w:p>
    <w:p w:rsidR="000C1EED" w:rsidRPr="009C0ADD" w:rsidRDefault="000C1EED" w:rsidP="00651536">
      <w:pPr>
        <w:ind w:firstLine="720"/>
        <w:jc w:val="both"/>
        <w:rPr>
          <w:sz w:val="18"/>
          <w:szCs w:val="22"/>
        </w:rPr>
      </w:pPr>
    </w:p>
    <w:p w:rsidR="009C0ADD" w:rsidRPr="00EE6861" w:rsidRDefault="009C0ADD" w:rsidP="00651536">
      <w:pPr>
        <w:ind w:firstLine="720"/>
        <w:jc w:val="both"/>
        <w:rPr>
          <w:sz w:val="28"/>
          <w:szCs w:val="22"/>
        </w:rPr>
      </w:pPr>
    </w:p>
    <w:p w:rsidR="009B5B0A" w:rsidRPr="007E5323" w:rsidRDefault="009B5B0A" w:rsidP="00651536">
      <w:pPr>
        <w:tabs>
          <w:tab w:val="left" w:pos="4862"/>
        </w:tabs>
        <w:ind w:firstLine="720"/>
        <w:jc w:val="center"/>
      </w:pPr>
      <w:r w:rsidRPr="007E5323">
        <w:t>ВСТАНОВИВ:</w:t>
      </w:r>
    </w:p>
    <w:p w:rsidR="00FC1FCF" w:rsidRDefault="00FC1FCF" w:rsidP="00651536">
      <w:pPr>
        <w:ind w:firstLine="720"/>
        <w:jc w:val="both"/>
        <w:rPr>
          <w:sz w:val="28"/>
          <w:szCs w:val="22"/>
        </w:rPr>
      </w:pPr>
    </w:p>
    <w:p w:rsidR="009C0ADD" w:rsidRPr="009C0ADD" w:rsidRDefault="009C0ADD" w:rsidP="00651536">
      <w:pPr>
        <w:ind w:firstLine="720"/>
        <w:jc w:val="both"/>
        <w:rPr>
          <w:sz w:val="18"/>
          <w:szCs w:val="22"/>
        </w:rPr>
      </w:pPr>
    </w:p>
    <w:p w:rsidR="009B5B0A" w:rsidRPr="009F5D41" w:rsidRDefault="00ED5F8A" w:rsidP="00651536">
      <w:pPr>
        <w:ind w:firstLine="720"/>
        <w:jc w:val="both"/>
      </w:pPr>
      <w:r w:rsidRPr="0090186F">
        <w:t>Концентраці</w:t>
      </w:r>
      <w:r>
        <w:t>я</w:t>
      </w:r>
      <w:r w:rsidRPr="0090186F">
        <w:t xml:space="preserve"> поляга</w:t>
      </w:r>
      <w:r>
        <w:t>є</w:t>
      </w:r>
      <w:r w:rsidRPr="0090186F">
        <w:t xml:space="preserve"> </w:t>
      </w:r>
      <w:r>
        <w:t xml:space="preserve">у </w:t>
      </w:r>
      <w:r w:rsidR="009F5D41">
        <w:t xml:space="preserve">опосередкованому </w:t>
      </w:r>
      <w:r>
        <w:t xml:space="preserve">придбанні </w:t>
      </w:r>
      <w:r w:rsidR="009F5D41" w:rsidRPr="009F5D41">
        <w:t>компані</w:t>
      </w:r>
      <w:r w:rsidR="009F5D41">
        <w:t>єю</w:t>
      </w:r>
      <w:r w:rsidR="009F5D41" w:rsidRPr="009F5D41">
        <w:t xml:space="preserve"> «Dragon Capital Investments Limited»</w:t>
      </w:r>
      <w:r w:rsidR="007415A6" w:rsidRPr="007415A6">
        <w:t xml:space="preserve"> </w:t>
      </w:r>
      <w:r w:rsidR="009F5D41" w:rsidRPr="009F5D41">
        <w:t xml:space="preserve">[через компанію «101 </w:t>
      </w:r>
      <w:r w:rsidR="009F5D41" w:rsidRPr="009F5D41">
        <w:rPr>
          <w:lang w:val="en-US"/>
        </w:rPr>
        <w:t>Limited</w:t>
      </w:r>
      <w:r w:rsidR="009F5D41" w:rsidRPr="009F5D41">
        <w:t>»</w:t>
      </w:r>
      <w:r w:rsidR="009F5D41" w:rsidRPr="00651536">
        <w:t xml:space="preserve"> </w:t>
      </w:r>
      <w:r w:rsidR="009F5D41" w:rsidRPr="009F5D41">
        <w:t xml:space="preserve">(м. Нікосія, Кіпр)] акцій компанії «Сур </w:t>
      </w:r>
      <w:r w:rsidR="009F5D41" w:rsidRPr="009F5D41">
        <w:rPr>
          <w:lang w:val="en-US"/>
        </w:rPr>
        <w:t>Rose</w:t>
      </w:r>
      <w:r w:rsidR="009F5D41" w:rsidRPr="00651536">
        <w:t xml:space="preserve"> </w:t>
      </w:r>
      <w:r w:rsidR="009F5D41" w:rsidRPr="009F5D41">
        <w:rPr>
          <w:lang w:val="en-US"/>
        </w:rPr>
        <w:t>Holding</w:t>
      </w:r>
      <w:r w:rsidR="009F5D41" w:rsidRPr="00651536">
        <w:t xml:space="preserve"> </w:t>
      </w:r>
      <w:r w:rsidR="009F5D41" w:rsidRPr="009F5D41">
        <w:rPr>
          <w:lang w:val="en-US"/>
        </w:rPr>
        <w:t>Limited</w:t>
      </w:r>
      <w:r w:rsidR="009F5D41" w:rsidRPr="009F5D41">
        <w:t>»</w:t>
      </w:r>
      <w:r w:rsidR="009F5D41">
        <w:t>,</w:t>
      </w:r>
      <w:r w:rsidR="009F5D41" w:rsidRPr="009F5D41">
        <w:t xml:space="preserve"> що забезпечує перевищення 50 відсотків голосів у вищому органі управління компанії.</w:t>
      </w:r>
    </w:p>
    <w:p w:rsidR="000C5685" w:rsidRPr="00651536" w:rsidRDefault="000C5685" w:rsidP="00651536">
      <w:pPr>
        <w:ind w:firstLine="720"/>
        <w:jc w:val="both"/>
        <w:rPr>
          <w:sz w:val="22"/>
          <w:szCs w:val="22"/>
        </w:rPr>
      </w:pPr>
    </w:p>
    <w:p w:rsidR="00695525" w:rsidRDefault="00695525" w:rsidP="00651536">
      <w:pPr>
        <w:ind w:firstLine="720"/>
        <w:jc w:val="both"/>
        <w:rPr>
          <w:lang w:val="ru-RU"/>
        </w:rPr>
      </w:pPr>
      <w:r w:rsidRPr="007E5323">
        <w:t>Відповідно до наданої заявник</w:t>
      </w:r>
      <w:r w:rsidR="00545921" w:rsidRPr="007E5323">
        <w:t>ами</w:t>
      </w:r>
      <w:r w:rsidRPr="007E5323">
        <w:t xml:space="preserve"> інформації:</w:t>
      </w:r>
    </w:p>
    <w:p w:rsidR="000C5685" w:rsidRPr="000C5685" w:rsidRDefault="000C5685" w:rsidP="00651536">
      <w:pPr>
        <w:ind w:firstLine="720"/>
        <w:jc w:val="both"/>
        <w:rPr>
          <w:lang w:val="ru-RU"/>
        </w:rPr>
      </w:pP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компанія «Сур Rose Holding Limited» здійснює діяльність із управління корпоративними правами суб’єктів господарювання, пов’язаних із нею відносинами контролю та не здійснює господарської діяльності на території України;</w:t>
      </w: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компанія «Сур Rose Holding Limited» пов’язана відносинами контролю із:</w:t>
      </w: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товариством з обмеженою відповідальністю «ЄВРОЖИТЛОГРУП» (далі –                      ТОВ «ЄВРОЖИТЛОГРУП») (м. Київ, Україна), яке здійснює діяльність із надання послуг оренди комерційної (офісної) нерухомості в межах міста Києва;</w:t>
      </w: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товариством з обмеженою відповідальністю «ЄЖГ ХОЛДИНГ» (далі – ТОВ «ЄЖГ ХОЛДИНГ») (м. Київ, Україна), яке здійснює діяльність із управління корпоративними правами суб’єк</w:t>
      </w:r>
      <w:r w:rsidR="00651536">
        <w:t xml:space="preserve">та господарювання, пов’язаного </w:t>
      </w:r>
      <w:r>
        <w:t xml:space="preserve">з ним відносинами контролю; </w:t>
      </w:r>
    </w:p>
    <w:p w:rsidR="009C0ADD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компанія «Сур Rose Holding Limited» разом із ТОВ «ЄВРОЖИТЛОГРУП» і                       ТОВ «ЄЖГ ХОЛДИНГ» формують Групу Об’єкта придбання;</w:t>
      </w:r>
    </w:p>
    <w:p w:rsidR="009F5D41" w:rsidRDefault="009C0ADD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 w:rsidRPr="009C0ADD">
        <w:t xml:space="preserve">крім того, компанія «Сур </w:t>
      </w:r>
      <w:r w:rsidRPr="009C0ADD">
        <w:rPr>
          <w:lang w:val="en-US"/>
        </w:rPr>
        <w:t>Rose</w:t>
      </w:r>
      <w:r w:rsidRPr="00651536">
        <w:t xml:space="preserve"> </w:t>
      </w:r>
      <w:r w:rsidRPr="009C0ADD">
        <w:rPr>
          <w:lang w:val="en-US"/>
        </w:rPr>
        <w:t>Holding</w:t>
      </w:r>
      <w:r w:rsidRPr="00651536">
        <w:t xml:space="preserve"> </w:t>
      </w:r>
      <w:r w:rsidRPr="009C0ADD">
        <w:rPr>
          <w:lang w:val="en-US"/>
        </w:rPr>
        <w:t>Limited</w:t>
      </w:r>
      <w:r w:rsidRPr="009C0ADD">
        <w:t>» пов’язана відносинами контролю із:</w:t>
      </w: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суб’єктами господарювання – резидентами та нерезидентами України, які утворюють Групу «Черновецького», бенефіціарним власником якої є фізична особа – громадянин України. Група «Черновецького» здійснює діяльність на території України із: надання послуг:</w:t>
      </w:r>
      <w:r w:rsidR="00651536">
        <w:t xml:space="preserve"> комплексного обслуговування об’єктів</w:t>
      </w:r>
      <w:r>
        <w:t>, охорони, оренди й експлуатації власного чи орендованого нерухомого майна, перевірки на поліграфі</w:t>
      </w:r>
      <w:r w:rsidR="00651536" w:rsidRPr="00651536">
        <w:t xml:space="preserve"> </w:t>
      </w:r>
      <w:r>
        <w:t>/</w:t>
      </w:r>
      <w:r w:rsidR="00651536" w:rsidRPr="00651536">
        <w:t xml:space="preserve"> </w:t>
      </w:r>
      <w:r>
        <w:t>детекторі брехні, інформаційно-</w:t>
      </w:r>
      <w:r>
        <w:lastRenderedPageBreak/>
        <w:t>аналітичних послуг (</w:t>
      </w:r>
      <w:r w:rsidR="00651536" w:rsidRPr="00651536">
        <w:t>у</w:t>
      </w:r>
      <w:r>
        <w:t xml:space="preserve"> межах групи), агентських послуг з купівлі-продажу продуктових, промислових товарів через мережу Інтернет, доставку; інвестиційної діяльності; проведення розслідувань;  </w:t>
      </w: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суб’єктами господарювання – резидентами та нерезидентом України, які утворюють Групу «Ніконова», бенефіціарним власником якої є фізична особа – громадянин України. Група «Ніконова» здійснює діяльність на території України із: надання послуг: оренди комерційної (офісної) нерухомості (</w:t>
      </w:r>
      <w:r w:rsidR="00651536" w:rsidRPr="00651536">
        <w:t>у</w:t>
      </w:r>
      <w:r>
        <w:t xml:space="preserve"> межах групи), оренди комерці</w:t>
      </w:r>
      <w:r w:rsidR="00651536">
        <w:t>йної (торг</w:t>
      </w:r>
      <w:r w:rsidR="00651536" w:rsidRPr="00651536">
        <w:t>о</w:t>
      </w:r>
      <w:r>
        <w:t>вельної та офісної) нерухомості, оренди й експлуатації власного чи орендованого нерухомого майна (земля); початкової освіти; будівництва житлових і нежитлових будівель (в тому числі в межах групи); організації будівництва будівель; інвестиційної діяльності, здійснення трастових операцій; купівлі та продажу власного нерухомого майна; вирощування та реалізації зернових культур (крім рису), бобових культур і насіння олійних культур;</w:t>
      </w: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 xml:space="preserve">після здійснення концентрації </w:t>
      </w:r>
      <w:r w:rsidRPr="009F5D41">
        <w:t>Груп</w:t>
      </w:r>
      <w:r>
        <w:t>и</w:t>
      </w:r>
      <w:r w:rsidRPr="009F5D41">
        <w:t xml:space="preserve"> «Черновецького»</w:t>
      </w:r>
      <w:r>
        <w:t xml:space="preserve"> і </w:t>
      </w:r>
      <w:r w:rsidRPr="009F5D41">
        <w:t>«Ніконова»</w:t>
      </w:r>
      <w:r>
        <w:t xml:space="preserve"> втратять контроль над Групою Об’єкта придбання;</w:t>
      </w: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  <w:rPr>
          <w:lang w:val="ru-RU"/>
        </w:rPr>
      </w:pPr>
    </w:p>
    <w:p w:rsidR="00651536" w:rsidRPr="00651536" w:rsidRDefault="00651536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  <w:rPr>
          <w:lang w:val="ru-RU"/>
        </w:rPr>
      </w:pP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компанія «Dragon Capital Investments Limited» здійснює діяльність із торгівлі цінними паперами у власних інтересах (</w:t>
      </w:r>
      <w:r w:rsidR="00651536" w:rsidRPr="00651536">
        <w:t>у</w:t>
      </w:r>
      <w:r>
        <w:t xml:space="preserve"> межах групи, без надання послуг на фондовому ринку України) і надання позик (</w:t>
      </w:r>
      <w:r w:rsidR="00651536" w:rsidRPr="00651536">
        <w:t>у</w:t>
      </w:r>
      <w:r>
        <w:t xml:space="preserve"> межах групи) та не здійснює господарської діяльності на території України;</w:t>
      </w:r>
    </w:p>
    <w:p w:rsidR="009F5D41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компанія «Dragon Capital Investments Limited» разом із суб’єктами господарювання – резидентами та нерезидентами України, пов’язаними з нею відносинами контролю, утворюють Групу Покупця, яка на території України здійснює діяльність із: торгівлі цінними паперами на фондовому ринку України, консультування з питань комерційної діяльності й керування; надання послуг: управління нерухомим майном, консультування з питань комерційної діяльності й керування управління нерухомим майном (</w:t>
      </w:r>
      <w:r w:rsidR="00651536" w:rsidRPr="00651536">
        <w:t>у</w:t>
      </w:r>
      <w:r>
        <w:t xml:space="preserve"> межах групи), оренди комерційної (складської) н</w:t>
      </w:r>
      <w:r w:rsidR="00651536">
        <w:t>ерухомості в межах міста Києва,</w:t>
      </w:r>
      <w:r>
        <w:t xml:space="preserve"> оренди комерційної (офісної) нерухомості в межах міст Вінниці, Запоріжжя, Києва, оренди комерційної (складської) нерухомості в межах Київської, Харківської області, оренди комерційної (торговельної) нерухомості в межах міст Вінниця, Київ, </w:t>
      </w:r>
      <w:r w:rsidR="00651536">
        <w:t>Львів; надання інформаційно-рек</w:t>
      </w:r>
      <w:r w:rsidR="00651536" w:rsidRPr="00651536">
        <w:t>л</w:t>
      </w:r>
      <w:r>
        <w:t xml:space="preserve">амних, консультаційних, фінансових послуг; виробництва та реалізації сільськогосподарської техніки, запчастин до сільськогосподарської техніки та її обслуговування; реалізації господарчих товарів; видання та продажу журналу «Страна: Новое время» </w:t>
      </w:r>
      <w:r w:rsidR="00651536" w:rsidRPr="00651536">
        <w:t>і</w:t>
      </w:r>
      <w:r>
        <w:t xml:space="preserve"> надання рекламних послуг; продажу та надання послуг оренди земельних ділянок у Київській області; надання житлово-комунальних послуг у межах Київської області; діяльність у сфері радіомовлення;</w:t>
      </w:r>
    </w:p>
    <w:p w:rsidR="000C5685" w:rsidRPr="00700B42" w:rsidRDefault="009F5D41" w:rsidP="00651536">
      <w:pPr>
        <w:tabs>
          <w:tab w:val="left" w:pos="0"/>
        </w:tabs>
        <w:overflowPunct w:val="0"/>
        <w:autoSpaceDE w:val="0"/>
        <w:autoSpaceDN w:val="0"/>
        <w:adjustRightInd w:val="0"/>
        <w:spacing w:line="280" w:lineRule="exact"/>
        <w:ind w:right="-1" w:firstLine="720"/>
        <w:jc w:val="both"/>
        <w:textAlignment w:val="baseline"/>
      </w:pPr>
      <w:r>
        <w:t>кінцевим бенефіціарним власником Група Покупця є фізична особа – громадянин Чехії</w:t>
      </w:r>
      <w:r w:rsidR="000C5685" w:rsidRPr="000C5685">
        <w:t>.</w:t>
      </w:r>
    </w:p>
    <w:p w:rsidR="009C0ADD" w:rsidRDefault="009C0ADD" w:rsidP="00651536">
      <w:pPr>
        <w:overflowPunct w:val="0"/>
        <w:ind w:firstLine="720"/>
        <w:jc w:val="both"/>
        <w:textAlignment w:val="baseline"/>
      </w:pPr>
    </w:p>
    <w:p w:rsidR="009C0ADD" w:rsidRDefault="009C0ADD" w:rsidP="00651536">
      <w:pPr>
        <w:overflowPunct w:val="0"/>
        <w:ind w:firstLine="720"/>
        <w:jc w:val="both"/>
        <w:textAlignment w:val="baseline"/>
      </w:pPr>
    </w:p>
    <w:p w:rsidR="00BC2315" w:rsidRPr="003D2304" w:rsidRDefault="00347FB3" w:rsidP="00651536">
      <w:pPr>
        <w:ind w:firstLine="720"/>
        <w:jc w:val="both"/>
      </w:pPr>
      <w:r w:rsidRPr="003D2304">
        <w:t>З</w:t>
      </w:r>
      <w:r w:rsidR="00BC2315" w:rsidRPr="003D2304"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F5D41" w:rsidRDefault="009F5D41" w:rsidP="00651536">
      <w:pPr>
        <w:ind w:firstLine="720"/>
        <w:jc w:val="both"/>
      </w:pPr>
    </w:p>
    <w:p w:rsidR="009C0ADD" w:rsidRPr="00CF33EB" w:rsidRDefault="009C0ADD" w:rsidP="00651536">
      <w:pPr>
        <w:ind w:firstLine="720"/>
        <w:jc w:val="both"/>
      </w:pPr>
    </w:p>
    <w:p w:rsidR="00851105" w:rsidRPr="003D2304" w:rsidRDefault="00851105" w:rsidP="00651536">
      <w:pPr>
        <w:ind w:firstLine="720"/>
        <w:jc w:val="both"/>
      </w:pPr>
      <w:r w:rsidRPr="003D2304">
        <w:t>Враховуючи викладене, керуючись статт</w:t>
      </w:r>
      <w:r>
        <w:t>ею</w:t>
      </w:r>
      <w:r w:rsidRPr="003D2304">
        <w:t xml:space="preserve"> 7 Закону України «Про Антимонопольний комітет України», статтею 25 Закону України «Про захист економічної конкуренції» та </w:t>
      </w:r>
      <w:r>
        <w:t xml:space="preserve">підпунктом 1 пункту 6 розділу XII Положення про порядок подання та розгляду заяв про попереднє отримання дозволу Антимонопольного </w:t>
      </w:r>
      <w:r w:rsidR="00A234F1">
        <w:t>к</w:t>
      </w:r>
      <w:r>
        <w:t xml:space="preserve">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</w:t>
      </w:r>
      <w:r>
        <w:lastRenderedPageBreak/>
        <w:t xml:space="preserve">21 березня 2002 року за № 284/6572  (у редакції розпорядження Антимонопольного </w:t>
      </w:r>
      <w:r w:rsidR="00A234F1">
        <w:t>к</w:t>
      </w:r>
      <w:r>
        <w:t>омітету України від  21.06.2016  № 14-рп),</w:t>
      </w:r>
      <w:r w:rsidRPr="003D2304">
        <w:t xml:space="preserve"> Антимонопольний комітет України </w:t>
      </w:r>
    </w:p>
    <w:p w:rsidR="009B5B0A" w:rsidRPr="003D2304" w:rsidRDefault="009B5B0A" w:rsidP="00651536">
      <w:pPr>
        <w:pStyle w:val="a3"/>
        <w:ind w:firstLine="720"/>
        <w:rPr>
          <w:szCs w:val="24"/>
        </w:rPr>
      </w:pPr>
    </w:p>
    <w:p w:rsidR="00E32FC7" w:rsidRPr="003D2304" w:rsidRDefault="009B5B0A" w:rsidP="00651536">
      <w:pPr>
        <w:pStyle w:val="a3"/>
        <w:tabs>
          <w:tab w:val="left" w:pos="4862"/>
        </w:tabs>
        <w:ind w:firstLine="720"/>
        <w:rPr>
          <w:szCs w:val="24"/>
        </w:rPr>
      </w:pPr>
      <w:r w:rsidRPr="003D2304">
        <w:rPr>
          <w:szCs w:val="24"/>
        </w:rPr>
        <w:t xml:space="preserve">                                                       ПОСТАНОВИВ:</w:t>
      </w:r>
    </w:p>
    <w:p w:rsidR="00C634DF" w:rsidRPr="003D2304" w:rsidRDefault="00C634DF" w:rsidP="00651536">
      <w:pPr>
        <w:pStyle w:val="a3"/>
        <w:tabs>
          <w:tab w:val="left" w:pos="4862"/>
        </w:tabs>
        <w:ind w:firstLine="720"/>
        <w:rPr>
          <w:szCs w:val="24"/>
        </w:rPr>
      </w:pPr>
    </w:p>
    <w:p w:rsidR="009F5D41" w:rsidRPr="009F5D41" w:rsidRDefault="009F5D41" w:rsidP="00651536">
      <w:pPr>
        <w:ind w:firstLine="720"/>
        <w:jc w:val="both"/>
      </w:pPr>
      <w:r w:rsidRPr="009F5D41">
        <w:t xml:space="preserve">Надати дозвіл компанії «Dragon Capital Investments Limited» (м. Нікосія, Кіпр) на опосередковане придбання [через компанію «101 </w:t>
      </w:r>
      <w:r w:rsidRPr="009F5D41">
        <w:rPr>
          <w:lang w:val="en-US"/>
        </w:rPr>
        <w:t>Limited</w:t>
      </w:r>
      <w:r w:rsidRPr="009F5D41">
        <w:t>»</w:t>
      </w:r>
      <w:r w:rsidRPr="00651536">
        <w:t xml:space="preserve"> </w:t>
      </w:r>
      <w:r w:rsidRPr="009F5D41">
        <w:t>(м. Нікосія, Кіпр)] акцій компанії «Сур Rose Holding Limited» (</w:t>
      </w:r>
      <w:r w:rsidRPr="00651536">
        <w:t xml:space="preserve">м. </w:t>
      </w:r>
      <w:r w:rsidRPr="009F5D41">
        <w:t>Лімасол, Кіпр), що забезпечує перевищення 50 відсотків голосів у вищому органі управління компанії</w:t>
      </w:r>
      <w:r w:rsidRPr="00651536">
        <w:t>.</w:t>
      </w:r>
    </w:p>
    <w:p w:rsidR="00EE50ED" w:rsidRDefault="00EE50ED" w:rsidP="00651536">
      <w:pPr>
        <w:ind w:firstLine="720"/>
        <w:jc w:val="both"/>
      </w:pPr>
    </w:p>
    <w:p w:rsidR="009F5D41" w:rsidRDefault="009F5D41" w:rsidP="00651536">
      <w:pPr>
        <w:ind w:firstLine="720"/>
        <w:jc w:val="both"/>
      </w:pPr>
    </w:p>
    <w:p w:rsidR="009F5D41" w:rsidRPr="003D2304" w:rsidRDefault="009F5D41" w:rsidP="009F5D41">
      <w:pPr>
        <w:jc w:val="both"/>
      </w:pPr>
    </w:p>
    <w:p w:rsidR="009F5D41" w:rsidRPr="009F5D41" w:rsidRDefault="009F5D41" w:rsidP="009F5D41">
      <w:pPr>
        <w:tabs>
          <w:tab w:val="left" w:pos="8789"/>
        </w:tabs>
        <w:jc w:val="both"/>
      </w:pPr>
      <w:r w:rsidRPr="009F5D41">
        <w:t>Голова Комітету                                                                                                   Ю. ТЕРЕНТЬЄВ</w:t>
      </w:r>
    </w:p>
    <w:p w:rsidR="007673F7" w:rsidRDefault="007673F7" w:rsidP="00743E5F">
      <w:pPr>
        <w:tabs>
          <w:tab w:val="left" w:pos="8789"/>
        </w:tabs>
        <w:jc w:val="both"/>
      </w:pPr>
    </w:p>
    <w:p w:rsidR="007673F7" w:rsidRPr="003D2304" w:rsidRDefault="007673F7" w:rsidP="00743E5F">
      <w:pPr>
        <w:tabs>
          <w:tab w:val="left" w:pos="8789"/>
        </w:tabs>
        <w:jc w:val="both"/>
      </w:pPr>
    </w:p>
    <w:p w:rsidR="009B5B0A" w:rsidRPr="003D2304" w:rsidRDefault="009B5B0A" w:rsidP="00743E5F">
      <w:pPr>
        <w:tabs>
          <w:tab w:val="left" w:pos="8789"/>
        </w:tabs>
        <w:jc w:val="both"/>
      </w:pPr>
    </w:p>
    <w:sectPr w:rsidR="009B5B0A" w:rsidRPr="003D2304" w:rsidSect="009C0ADD">
      <w:headerReference w:type="even" r:id="rId9"/>
      <w:headerReference w:type="default" r:id="rId10"/>
      <w:pgSz w:w="11907" w:h="16840" w:code="9"/>
      <w:pgMar w:top="1134" w:right="567" w:bottom="993" w:left="1701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7B89" w:rsidRDefault="004C7B89">
      <w:r>
        <w:separator/>
      </w:r>
    </w:p>
  </w:endnote>
  <w:endnote w:type="continuationSeparator" w:id="0">
    <w:p w:rsidR="004C7B89" w:rsidRDefault="004C7B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7B89" w:rsidRDefault="004C7B89">
      <w:r>
        <w:separator/>
      </w:r>
    </w:p>
  </w:footnote>
  <w:footnote w:type="continuationSeparator" w:id="0">
    <w:p w:rsidR="004C7B89" w:rsidRDefault="004C7B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36" w:rsidRDefault="00651536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51536" w:rsidRDefault="006515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1536" w:rsidRDefault="00651536">
    <w:pPr>
      <w:pStyle w:val="a5"/>
    </w:pPr>
  </w:p>
  <w:p w:rsidR="00651536" w:rsidRDefault="00651536" w:rsidP="00F026B0">
    <w:pPr>
      <w:pStyle w:val="a5"/>
      <w:framePr w:wrap="around" w:vAnchor="text" w:hAnchor="page" w:x="6494" w:y="76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6D85">
      <w:rPr>
        <w:rStyle w:val="a6"/>
        <w:noProof/>
      </w:rPr>
      <w:t>2</w:t>
    </w:r>
    <w:r>
      <w:rPr>
        <w:rStyle w:val="a6"/>
      </w:rPr>
      <w:fldChar w:fldCharType="end"/>
    </w:r>
  </w:p>
  <w:p w:rsidR="00651536" w:rsidRDefault="00651536">
    <w:pPr>
      <w:pStyle w:val="a5"/>
    </w:pPr>
  </w:p>
  <w:p w:rsidR="00651536" w:rsidRPr="00B82EE1" w:rsidRDefault="00651536">
    <w:pPr>
      <w:pStyle w:val="a5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B733E"/>
    <w:multiLevelType w:val="hybridMultilevel"/>
    <w:tmpl w:val="607286B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F0D3BE7"/>
    <w:multiLevelType w:val="hybridMultilevel"/>
    <w:tmpl w:val="13143E20"/>
    <w:lvl w:ilvl="0" w:tplc="2F36795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VerticalDrawingGridEvery w:val="2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2036"/>
    <w:rsid w:val="0000098C"/>
    <w:rsid w:val="00003A09"/>
    <w:rsid w:val="00003B55"/>
    <w:rsid w:val="000215AC"/>
    <w:rsid w:val="00025297"/>
    <w:rsid w:val="000338BF"/>
    <w:rsid w:val="000363DE"/>
    <w:rsid w:val="000464FA"/>
    <w:rsid w:val="00057020"/>
    <w:rsid w:val="00057031"/>
    <w:rsid w:val="000570E3"/>
    <w:rsid w:val="00057682"/>
    <w:rsid w:val="00070DCF"/>
    <w:rsid w:val="00072E8C"/>
    <w:rsid w:val="00083B78"/>
    <w:rsid w:val="00085C55"/>
    <w:rsid w:val="00091720"/>
    <w:rsid w:val="000A52C3"/>
    <w:rsid w:val="000A69B8"/>
    <w:rsid w:val="000B5EDA"/>
    <w:rsid w:val="000C1EED"/>
    <w:rsid w:val="000C548E"/>
    <w:rsid w:val="000C5685"/>
    <w:rsid w:val="000C6342"/>
    <w:rsid w:val="000D5768"/>
    <w:rsid w:val="000D787E"/>
    <w:rsid w:val="000E65F2"/>
    <w:rsid w:val="00100A72"/>
    <w:rsid w:val="001018FA"/>
    <w:rsid w:val="00110213"/>
    <w:rsid w:val="0012532D"/>
    <w:rsid w:val="001318F8"/>
    <w:rsid w:val="00132783"/>
    <w:rsid w:val="0013473F"/>
    <w:rsid w:val="00135A14"/>
    <w:rsid w:val="00136D03"/>
    <w:rsid w:val="001403E3"/>
    <w:rsid w:val="00143296"/>
    <w:rsid w:val="00143C00"/>
    <w:rsid w:val="00154007"/>
    <w:rsid w:val="0015612D"/>
    <w:rsid w:val="00157398"/>
    <w:rsid w:val="001647CF"/>
    <w:rsid w:val="001662C4"/>
    <w:rsid w:val="00167CEB"/>
    <w:rsid w:val="0017375E"/>
    <w:rsid w:val="00174333"/>
    <w:rsid w:val="0017672C"/>
    <w:rsid w:val="00183838"/>
    <w:rsid w:val="00183A1A"/>
    <w:rsid w:val="00184174"/>
    <w:rsid w:val="00186565"/>
    <w:rsid w:val="00197118"/>
    <w:rsid w:val="001A3C11"/>
    <w:rsid w:val="001A46D9"/>
    <w:rsid w:val="001A4A6D"/>
    <w:rsid w:val="001A4E21"/>
    <w:rsid w:val="001A529C"/>
    <w:rsid w:val="001B5B0A"/>
    <w:rsid w:val="001C3D90"/>
    <w:rsid w:val="001C47C1"/>
    <w:rsid w:val="001C51DC"/>
    <w:rsid w:val="001D2920"/>
    <w:rsid w:val="001E0239"/>
    <w:rsid w:val="001E3DE0"/>
    <w:rsid w:val="001F0AA9"/>
    <w:rsid w:val="001F2CC2"/>
    <w:rsid w:val="001F6E10"/>
    <w:rsid w:val="001F74EE"/>
    <w:rsid w:val="001F7BE8"/>
    <w:rsid w:val="0021068B"/>
    <w:rsid w:val="0021138E"/>
    <w:rsid w:val="00212559"/>
    <w:rsid w:val="002152A2"/>
    <w:rsid w:val="00216D38"/>
    <w:rsid w:val="002173C0"/>
    <w:rsid w:val="00217C2C"/>
    <w:rsid w:val="00222461"/>
    <w:rsid w:val="00223AE0"/>
    <w:rsid w:val="00232B2E"/>
    <w:rsid w:val="00234A12"/>
    <w:rsid w:val="00247023"/>
    <w:rsid w:val="002526FD"/>
    <w:rsid w:val="002528BC"/>
    <w:rsid w:val="002614B0"/>
    <w:rsid w:val="00265E42"/>
    <w:rsid w:val="0027520C"/>
    <w:rsid w:val="00283E46"/>
    <w:rsid w:val="00284ED8"/>
    <w:rsid w:val="002850C5"/>
    <w:rsid w:val="002869BE"/>
    <w:rsid w:val="002875E9"/>
    <w:rsid w:val="00295AD8"/>
    <w:rsid w:val="002B0A35"/>
    <w:rsid w:val="002B4EA7"/>
    <w:rsid w:val="002C1398"/>
    <w:rsid w:val="002C5892"/>
    <w:rsid w:val="002F06F5"/>
    <w:rsid w:val="002F2A34"/>
    <w:rsid w:val="00302094"/>
    <w:rsid w:val="00303871"/>
    <w:rsid w:val="0030501F"/>
    <w:rsid w:val="003075F1"/>
    <w:rsid w:val="00311BA8"/>
    <w:rsid w:val="00312DDC"/>
    <w:rsid w:val="00313169"/>
    <w:rsid w:val="003164BA"/>
    <w:rsid w:val="00324E28"/>
    <w:rsid w:val="00332F25"/>
    <w:rsid w:val="00333A94"/>
    <w:rsid w:val="00340647"/>
    <w:rsid w:val="00342975"/>
    <w:rsid w:val="00343796"/>
    <w:rsid w:val="003437D7"/>
    <w:rsid w:val="0034592E"/>
    <w:rsid w:val="00347FB3"/>
    <w:rsid w:val="00350CF6"/>
    <w:rsid w:val="00354985"/>
    <w:rsid w:val="00355927"/>
    <w:rsid w:val="00360128"/>
    <w:rsid w:val="0036106E"/>
    <w:rsid w:val="00364F3F"/>
    <w:rsid w:val="00373A7C"/>
    <w:rsid w:val="00373A9C"/>
    <w:rsid w:val="00377E19"/>
    <w:rsid w:val="00382D6F"/>
    <w:rsid w:val="00391172"/>
    <w:rsid w:val="003936F0"/>
    <w:rsid w:val="0039517B"/>
    <w:rsid w:val="003960CF"/>
    <w:rsid w:val="00397760"/>
    <w:rsid w:val="003A0AC3"/>
    <w:rsid w:val="003A0E24"/>
    <w:rsid w:val="003B11AE"/>
    <w:rsid w:val="003D2304"/>
    <w:rsid w:val="003D6FBC"/>
    <w:rsid w:val="003E7CB2"/>
    <w:rsid w:val="003F0089"/>
    <w:rsid w:val="003F02B0"/>
    <w:rsid w:val="004037E4"/>
    <w:rsid w:val="00407585"/>
    <w:rsid w:val="00416B3A"/>
    <w:rsid w:val="00423191"/>
    <w:rsid w:val="0042358B"/>
    <w:rsid w:val="00431B8C"/>
    <w:rsid w:val="0043501B"/>
    <w:rsid w:val="00444E52"/>
    <w:rsid w:val="00451E5D"/>
    <w:rsid w:val="00456D85"/>
    <w:rsid w:val="00463991"/>
    <w:rsid w:val="00495A43"/>
    <w:rsid w:val="004962D2"/>
    <w:rsid w:val="004A01FA"/>
    <w:rsid w:val="004A385D"/>
    <w:rsid w:val="004B21A3"/>
    <w:rsid w:val="004C2B95"/>
    <w:rsid w:val="004C2C53"/>
    <w:rsid w:val="004C3F7D"/>
    <w:rsid w:val="004C43AA"/>
    <w:rsid w:val="004C6E06"/>
    <w:rsid w:val="004C7B89"/>
    <w:rsid w:val="004E1FD8"/>
    <w:rsid w:val="004E26FA"/>
    <w:rsid w:val="004E600A"/>
    <w:rsid w:val="004F0124"/>
    <w:rsid w:val="0050243C"/>
    <w:rsid w:val="00502FF5"/>
    <w:rsid w:val="005072CF"/>
    <w:rsid w:val="00512AF5"/>
    <w:rsid w:val="005231D1"/>
    <w:rsid w:val="005254F9"/>
    <w:rsid w:val="00531A2C"/>
    <w:rsid w:val="00545921"/>
    <w:rsid w:val="00545D64"/>
    <w:rsid w:val="00555DBB"/>
    <w:rsid w:val="00561B0D"/>
    <w:rsid w:val="00566090"/>
    <w:rsid w:val="005679AA"/>
    <w:rsid w:val="00572EAF"/>
    <w:rsid w:val="00573BA1"/>
    <w:rsid w:val="00576C3B"/>
    <w:rsid w:val="0058075D"/>
    <w:rsid w:val="00583B28"/>
    <w:rsid w:val="00584494"/>
    <w:rsid w:val="005861DA"/>
    <w:rsid w:val="005902B3"/>
    <w:rsid w:val="00592AC2"/>
    <w:rsid w:val="005A2D50"/>
    <w:rsid w:val="005A4DB6"/>
    <w:rsid w:val="005B1B92"/>
    <w:rsid w:val="005C295B"/>
    <w:rsid w:val="005C4756"/>
    <w:rsid w:val="005D3C9A"/>
    <w:rsid w:val="005D49FF"/>
    <w:rsid w:val="005D59C5"/>
    <w:rsid w:val="005F09DC"/>
    <w:rsid w:val="005F1EC1"/>
    <w:rsid w:val="005F2EEB"/>
    <w:rsid w:val="005F3958"/>
    <w:rsid w:val="005F5AD1"/>
    <w:rsid w:val="005F5E1A"/>
    <w:rsid w:val="005F680B"/>
    <w:rsid w:val="006037D4"/>
    <w:rsid w:val="006123B6"/>
    <w:rsid w:val="00612E4B"/>
    <w:rsid w:val="006209CC"/>
    <w:rsid w:val="006237ED"/>
    <w:rsid w:val="00624D3B"/>
    <w:rsid w:val="00630592"/>
    <w:rsid w:val="00631A84"/>
    <w:rsid w:val="00634B61"/>
    <w:rsid w:val="00645DAA"/>
    <w:rsid w:val="00646C50"/>
    <w:rsid w:val="00651536"/>
    <w:rsid w:val="006546BA"/>
    <w:rsid w:val="00660990"/>
    <w:rsid w:val="00672099"/>
    <w:rsid w:val="006732EE"/>
    <w:rsid w:val="00686378"/>
    <w:rsid w:val="00690A8C"/>
    <w:rsid w:val="00694398"/>
    <w:rsid w:val="0069494C"/>
    <w:rsid w:val="00695525"/>
    <w:rsid w:val="006970E1"/>
    <w:rsid w:val="006973D5"/>
    <w:rsid w:val="006974FE"/>
    <w:rsid w:val="006A0BE4"/>
    <w:rsid w:val="006A78E5"/>
    <w:rsid w:val="006B0D6C"/>
    <w:rsid w:val="006B3F07"/>
    <w:rsid w:val="006C58D1"/>
    <w:rsid w:val="006E225A"/>
    <w:rsid w:val="006E5055"/>
    <w:rsid w:val="006F5BBE"/>
    <w:rsid w:val="006F788D"/>
    <w:rsid w:val="00700B42"/>
    <w:rsid w:val="0071700B"/>
    <w:rsid w:val="007175DB"/>
    <w:rsid w:val="00722F70"/>
    <w:rsid w:val="00726E01"/>
    <w:rsid w:val="00730365"/>
    <w:rsid w:val="007353A3"/>
    <w:rsid w:val="00735BF6"/>
    <w:rsid w:val="00737D77"/>
    <w:rsid w:val="007415A6"/>
    <w:rsid w:val="00742666"/>
    <w:rsid w:val="00742AB4"/>
    <w:rsid w:val="0074336D"/>
    <w:rsid w:val="007436FB"/>
    <w:rsid w:val="00743E5F"/>
    <w:rsid w:val="0074530A"/>
    <w:rsid w:val="0074593C"/>
    <w:rsid w:val="007475F5"/>
    <w:rsid w:val="00756F82"/>
    <w:rsid w:val="00763910"/>
    <w:rsid w:val="007673F7"/>
    <w:rsid w:val="00767DFA"/>
    <w:rsid w:val="00771493"/>
    <w:rsid w:val="00771F44"/>
    <w:rsid w:val="0077219C"/>
    <w:rsid w:val="0077602F"/>
    <w:rsid w:val="00776C51"/>
    <w:rsid w:val="00780408"/>
    <w:rsid w:val="00781016"/>
    <w:rsid w:val="00784C5D"/>
    <w:rsid w:val="00795DC5"/>
    <w:rsid w:val="007A4C9D"/>
    <w:rsid w:val="007B01E1"/>
    <w:rsid w:val="007B606B"/>
    <w:rsid w:val="007C0B28"/>
    <w:rsid w:val="007C4DA0"/>
    <w:rsid w:val="007C7F57"/>
    <w:rsid w:val="007D3A9F"/>
    <w:rsid w:val="007D7D8D"/>
    <w:rsid w:val="007E04ED"/>
    <w:rsid w:val="007E0E8B"/>
    <w:rsid w:val="007E1A0E"/>
    <w:rsid w:val="007E5323"/>
    <w:rsid w:val="007E761E"/>
    <w:rsid w:val="008022CE"/>
    <w:rsid w:val="00802D78"/>
    <w:rsid w:val="00803F29"/>
    <w:rsid w:val="00807B45"/>
    <w:rsid w:val="008104E9"/>
    <w:rsid w:val="0081262E"/>
    <w:rsid w:val="0081707F"/>
    <w:rsid w:val="00820188"/>
    <w:rsid w:val="0082791E"/>
    <w:rsid w:val="0083124A"/>
    <w:rsid w:val="00836455"/>
    <w:rsid w:val="00836EEA"/>
    <w:rsid w:val="0084167A"/>
    <w:rsid w:val="008466AB"/>
    <w:rsid w:val="0084766C"/>
    <w:rsid w:val="00851105"/>
    <w:rsid w:val="00860B8D"/>
    <w:rsid w:val="008619CA"/>
    <w:rsid w:val="00861BDE"/>
    <w:rsid w:val="00864CF0"/>
    <w:rsid w:val="00866E79"/>
    <w:rsid w:val="008679AD"/>
    <w:rsid w:val="00880093"/>
    <w:rsid w:val="00882298"/>
    <w:rsid w:val="0088631A"/>
    <w:rsid w:val="0089308E"/>
    <w:rsid w:val="00893B39"/>
    <w:rsid w:val="00897B14"/>
    <w:rsid w:val="008B188D"/>
    <w:rsid w:val="008C705A"/>
    <w:rsid w:val="008C74CE"/>
    <w:rsid w:val="008E1AD8"/>
    <w:rsid w:val="008F1A12"/>
    <w:rsid w:val="00902C2C"/>
    <w:rsid w:val="009122BC"/>
    <w:rsid w:val="009127FC"/>
    <w:rsid w:val="00912CDA"/>
    <w:rsid w:val="00915CA8"/>
    <w:rsid w:val="00920FDA"/>
    <w:rsid w:val="0092595B"/>
    <w:rsid w:val="00926187"/>
    <w:rsid w:val="009418CB"/>
    <w:rsid w:val="00941FAC"/>
    <w:rsid w:val="009501EE"/>
    <w:rsid w:val="00950620"/>
    <w:rsid w:val="009573FF"/>
    <w:rsid w:val="0095798B"/>
    <w:rsid w:val="009675B9"/>
    <w:rsid w:val="00971FD9"/>
    <w:rsid w:val="00973B7C"/>
    <w:rsid w:val="00975B58"/>
    <w:rsid w:val="009761FD"/>
    <w:rsid w:val="0098003A"/>
    <w:rsid w:val="00980F95"/>
    <w:rsid w:val="009836C3"/>
    <w:rsid w:val="00993BFD"/>
    <w:rsid w:val="00994CE2"/>
    <w:rsid w:val="00996639"/>
    <w:rsid w:val="009B0411"/>
    <w:rsid w:val="009B0473"/>
    <w:rsid w:val="009B0D01"/>
    <w:rsid w:val="009B2CA9"/>
    <w:rsid w:val="009B46FD"/>
    <w:rsid w:val="009B5B0A"/>
    <w:rsid w:val="009C05A7"/>
    <w:rsid w:val="009C0ADD"/>
    <w:rsid w:val="009C394F"/>
    <w:rsid w:val="009C3FDC"/>
    <w:rsid w:val="009C48FE"/>
    <w:rsid w:val="009C6A90"/>
    <w:rsid w:val="009D122E"/>
    <w:rsid w:val="009D5D04"/>
    <w:rsid w:val="009E033F"/>
    <w:rsid w:val="009E10E6"/>
    <w:rsid w:val="009E5952"/>
    <w:rsid w:val="009F3BBE"/>
    <w:rsid w:val="009F57FB"/>
    <w:rsid w:val="009F5811"/>
    <w:rsid w:val="009F5D41"/>
    <w:rsid w:val="00A020E3"/>
    <w:rsid w:val="00A06BA8"/>
    <w:rsid w:val="00A13831"/>
    <w:rsid w:val="00A175BD"/>
    <w:rsid w:val="00A226CC"/>
    <w:rsid w:val="00A233DD"/>
    <w:rsid w:val="00A234F1"/>
    <w:rsid w:val="00A2392C"/>
    <w:rsid w:val="00A35BBF"/>
    <w:rsid w:val="00A41A8C"/>
    <w:rsid w:val="00A4490F"/>
    <w:rsid w:val="00A47628"/>
    <w:rsid w:val="00A547C1"/>
    <w:rsid w:val="00A57218"/>
    <w:rsid w:val="00A707BC"/>
    <w:rsid w:val="00A85034"/>
    <w:rsid w:val="00A90343"/>
    <w:rsid w:val="00A904A9"/>
    <w:rsid w:val="00A92919"/>
    <w:rsid w:val="00A93790"/>
    <w:rsid w:val="00A9466F"/>
    <w:rsid w:val="00AA01FB"/>
    <w:rsid w:val="00AA0D58"/>
    <w:rsid w:val="00AA29F8"/>
    <w:rsid w:val="00AB656B"/>
    <w:rsid w:val="00AC0037"/>
    <w:rsid w:val="00AC2C47"/>
    <w:rsid w:val="00AC2EC6"/>
    <w:rsid w:val="00AC375E"/>
    <w:rsid w:val="00AD19FE"/>
    <w:rsid w:val="00AE17A8"/>
    <w:rsid w:val="00AE7FBF"/>
    <w:rsid w:val="00AF4DEC"/>
    <w:rsid w:val="00B02DF2"/>
    <w:rsid w:val="00B26E05"/>
    <w:rsid w:val="00B32966"/>
    <w:rsid w:val="00B41971"/>
    <w:rsid w:val="00B4362E"/>
    <w:rsid w:val="00B43F40"/>
    <w:rsid w:val="00B51723"/>
    <w:rsid w:val="00B5186F"/>
    <w:rsid w:val="00B523CE"/>
    <w:rsid w:val="00B61CA6"/>
    <w:rsid w:val="00B768A6"/>
    <w:rsid w:val="00B777F1"/>
    <w:rsid w:val="00B82EE1"/>
    <w:rsid w:val="00B86B80"/>
    <w:rsid w:val="00B87955"/>
    <w:rsid w:val="00B91274"/>
    <w:rsid w:val="00B94723"/>
    <w:rsid w:val="00BA00E1"/>
    <w:rsid w:val="00BA06D5"/>
    <w:rsid w:val="00BA3BB1"/>
    <w:rsid w:val="00BA5A41"/>
    <w:rsid w:val="00BB6D78"/>
    <w:rsid w:val="00BB7060"/>
    <w:rsid w:val="00BC2315"/>
    <w:rsid w:val="00BD028A"/>
    <w:rsid w:val="00BD0545"/>
    <w:rsid w:val="00BD2590"/>
    <w:rsid w:val="00BD5345"/>
    <w:rsid w:val="00BD6223"/>
    <w:rsid w:val="00BF283C"/>
    <w:rsid w:val="00BF329C"/>
    <w:rsid w:val="00BF336A"/>
    <w:rsid w:val="00BF400D"/>
    <w:rsid w:val="00C01F5F"/>
    <w:rsid w:val="00C03175"/>
    <w:rsid w:val="00C20745"/>
    <w:rsid w:val="00C20E40"/>
    <w:rsid w:val="00C3322D"/>
    <w:rsid w:val="00C4440C"/>
    <w:rsid w:val="00C525DD"/>
    <w:rsid w:val="00C52F7C"/>
    <w:rsid w:val="00C534F8"/>
    <w:rsid w:val="00C54562"/>
    <w:rsid w:val="00C55F41"/>
    <w:rsid w:val="00C634DF"/>
    <w:rsid w:val="00C82ACB"/>
    <w:rsid w:val="00C90E6C"/>
    <w:rsid w:val="00C92EAC"/>
    <w:rsid w:val="00C94093"/>
    <w:rsid w:val="00C9486E"/>
    <w:rsid w:val="00C97899"/>
    <w:rsid w:val="00CA0CEE"/>
    <w:rsid w:val="00CA6B22"/>
    <w:rsid w:val="00CA6DF6"/>
    <w:rsid w:val="00CC0ED6"/>
    <w:rsid w:val="00CC6E3F"/>
    <w:rsid w:val="00CC7632"/>
    <w:rsid w:val="00CD225D"/>
    <w:rsid w:val="00CD48F3"/>
    <w:rsid w:val="00CE00D4"/>
    <w:rsid w:val="00CE631E"/>
    <w:rsid w:val="00CE68ED"/>
    <w:rsid w:val="00CF33EB"/>
    <w:rsid w:val="00CF69B4"/>
    <w:rsid w:val="00D0346D"/>
    <w:rsid w:val="00D1488C"/>
    <w:rsid w:val="00D17731"/>
    <w:rsid w:val="00D215C1"/>
    <w:rsid w:val="00D227C8"/>
    <w:rsid w:val="00D2459D"/>
    <w:rsid w:val="00D254F5"/>
    <w:rsid w:val="00D30098"/>
    <w:rsid w:val="00D313BE"/>
    <w:rsid w:val="00D51554"/>
    <w:rsid w:val="00D56D6F"/>
    <w:rsid w:val="00D60845"/>
    <w:rsid w:val="00D67A1A"/>
    <w:rsid w:val="00D70980"/>
    <w:rsid w:val="00D70DA6"/>
    <w:rsid w:val="00D80858"/>
    <w:rsid w:val="00D86CA7"/>
    <w:rsid w:val="00D87219"/>
    <w:rsid w:val="00D87C3B"/>
    <w:rsid w:val="00D911A8"/>
    <w:rsid w:val="00D96854"/>
    <w:rsid w:val="00D9698C"/>
    <w:rsid w:val="00DA60B1"/>
    <w:rsid w:val="00DB132C"/>
    <w:rsid w:val="00DC7CD9"/>
    <w:rsid w:val="00DD01AF"/>
    <w:rsid w:val="00DD1FDC"/>
    <w:rsid w:val="00DD2438"/>
    <w:rsid w:val="00DD3A38"/>
    <w:rsid w:val="00DF594D"/>
    <w:rsid w:val="00E114FF"/>
    <w:rsid w:val="00E2075B"/>
    <w:rsid w:val="00E26745"/>
    <w:rsid w:val="00E3165E"/>
    <w:rsid w:val="00E31C0B"/>
    <w:rsid w:val="00E32FC7"/>
    <w:rsid w:val="00E42444"/>
    <w:rsid w:val="00E60A10"/>
    <w:rsid w:val="00E62FFD"/>
    <w:rsid w:val="00E6488F"/>
    <w:rsid w:val="00E64B64"/>
    <w:rsid w:val="00E654AA"/>
    <w:rsid w:val="00E939DB"/>
    <w:rsid w:val="00E953FA"/>
    <w:rsid w:val="00E95DF8"/>
    <w:rsid w:val="00E974DF"/>
    <w:rsid w:val="00EA0D21"/>
    <w:rsid w:val="00EA2FBA"/>
    <w:rsid w:val="00EB0525"/>
    <w:rsid w:val="00EB7257"/>
    <w:rsid w:val="00EB74D0"/>
    <w:rsid w:val="00EC7F18"/>
    <w:rsid w:val="00ED03E4"/>
    <w:rsid w:val="00ED0DC3"/>
    <w:rsid w:val="00ED16D8"/>
    <w:rsid w:val="00ED3967"/>
    <w:rsid w:val="00ED5F8A"/>
    <w:rsid w:val="00ED7098"/>
    <w:rsid w:val="00EE50ED"/>
    <w:rsid w:val="00EE6861"/>
    <w:rsid w:val="00EF0E81"/>
    <w:rsid w:val="00EF42AF"/>
    <w:rsid w:val="00EF5F62"/>
    <w:rsid w:val="00EF6314"/>
    <w:rsid w:val="00F026B0"/>
    <w:rsid w:val="00F10EE8"/>
    <w:rsid w:val="00F15FC3"/>
    <w:rsid w:val="00F201E9"/>
    <w:rsid w:val="00F343AD"/>
    <w:rsid w:val="00F37E9D"/>
    <w:rsid w:val="00F416B7"/>
    <w:rsid w:val="00F500A9"/>
    <w:rsid w:val="00F54153"/>
    <w:rsid w:val="00F566B4"/>
    <w:rsid w:val="00F57186"/>
    <w:rsid w:val="00F66DA4"/>
    <w:rsid w:val="00F7116D"/>
    <w:rsid w:val="00F73FFC"/>
    <w:rsid w:val="00F84D33"/>
    <w:rsid w:val="00F95313"/>
    <w:rsid w:val="00FA2827"/>
    <w:rsid w:val="00FA6C5A"/>
    <w:rsid w:val="00FA7F31"/>
    <w:rsid w:val="00FC1E8A"/>
    <w:rsid w:val="00FC1FCF"/>
    <w:rsid w:val="00FC3457"/>
    <w:rsid w:val="00FC6933"/>
    <w:rsid w:val="00FD2982"/>
    <w:rsid w:val="00FD4D07"/>
    <w:rsid w:val="00FE6CF6"/>
    <w:rsid w:val="00FF2036"/>
    <w:rsid w:val="00FF30C3"/>
    <w:rsid w:val="00FF310A"/>
    <w:rsid w:val="00FF58D7"/>
    <w:rsid w:val="00FF7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ind w:left="708"/>
      <w:jc w:val="both"/>
      <w:textAlignment w:val="baseline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ind w:left="3540"/>
      <w:jc w:val="both"/>
      <w:textAlignment w:val="baseline"/>
      <w:outlineLvl w:val="1"/>
    </w:pPr>
    <w:rPr>
      <w:b/>
      <w:sz w:val="32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pPr>
      <w:overflowPunct w:val="0"/>
      <w:autoSpaceDE w:val="0"/>
      <w:autoSpaceDN w:val="0"/>
      <w:adjustRightInd w:val="0"/>
      <w:jc w:val="both"/>
      <w:textAlignment w:val="baseline"/>
    </w:pPr>
    <w:rPr>
      <w:noProof/>
      <w:szCs w:val="20"/>
    </w:rPr>
  </w:style>
  <w:style w:type="paragraph" w:customStyle="1" w:styleId="BodyText2">
    <w:name w:val="Body Text 2"/>
    <w:basedOn w:val="a"/>
    <w:pPr>
      <w:overflowPunct w:val="0"/>
      <w:autoSpaceDE w:val="0"/>
      <w:autoSpaceDN w:val="0"/>
      <w:adjustRightInd w:val="0"/>
      <w:ind w:firstLine="708"/>
      <w:jc w:val="both"/>
      <w:textAlignment w:val="baseline"/>
    </w:pPr>
    <w:rPr>
      <w:noProof/>
      <w:szCs w:val="20"/>
    </w:rPr>
  </w:style>
  <w:style w:type="paragraph" w:styleId="20">
    <w:name w:val="Body Text Indent 2"/>
    <w:basedOn w:val="a"/>
    <w:pPr>
      <w:autoSpaceDE w:val="0"/>
      <w:autoSpaceDN w:val="0"/>
      <w:adjustRightInd w:val="0"/>
      <w:ind w:firstLine="720"/>
      <w:jc w:val="both"/>
    </w:pPr>
    <w:rPr>
      <w:sz w:val="20"/>
    </w:rPr>
  </w:style>
  <w:style w:type="paragraph" w:styleId="a4">
    <w:name w:val="Body Text Indent"/>
    <w:basedOn w:val="a"/>
    <w:pPr>
      <w:autoSpaceDE w:val="0"/>
      <w:autoSpaceDN w:val="0"/>
      <w:adjustRightInd w:val="0"/>
      <w:ind w:firstLine="720"/>
      <w:jc w:val="both"/>
    </w:pPr>
    <w:rPr>
      <w:i/>
      <w:iCs/>
      <w:sz w:val="20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character" w:styleId="a7">
    <w:name w:val="footnote reference"/>
    <w:semiHidden/>
    <w:rPr>
      <w:vertAlign w:val="superscript"/>
    </w:rPr>
  </w:style>
  <w:style w:type="paragraph" w:styleId="a8">
    <w:name w:val="footnote text"/>
    <w:basedOn w:val="a"/>
    <w:semiHidden/>
    <w:pPr>
      <w:autoSpaceDE w:val="0"/>
      <w:autoSpaceDN w:val="0"/>
      <w:adjustRightInd w:val="0"/>
    </w:pPr>
    <w:rPr>
      <w:sz w:val="20"/>
      <w:szCs w:val="20"/>
    </w:rPr>
  </w:style>
  <w:style w:type="paragraph" w:styleId="3">
    <w:name w:val="Body Text Indent 3"/>
    <w:basedOn w:val="a"/>
    <w:pPr>
      <w:ind w:firstLine="720"/>
      <w:jc w:val="both"/>
    </w:pPr>
  </w:style>
  <w:style w:type="character" w:styleId="a9">
    <w:name w:val="Hyperlink"/>
    <w:rPr>
      <w:color w:val="0000FF"/>
      <w:u w:val="single"/>
    </w:rPr>
  </w:style>
  <w:style w:type="paragraph" w:styleId="21">
    <w:name w:val="Body Text 2"/>
    <w:basedOn w:val="a"/>
    <w:pPr>
      <w:autoSpaceDE w:val="0"/>
      <w:autoSpaceDN w:val="0"/>
      <w:adjustRightInd w:val="0"/>
      <w:jc w:val="both"/>
    </w:pPr>
  </w:style>
  <w:style w:type="paragraph" w:styleId="aa">
    <w:name w:val="Balloon Text"/>
    <w:basedOn w:val="a"/>
    <w:semiHidden/>
    <w:rsid w:val="00CD48F3"/>
    <w:rPr>
      <w:rFonts w:ascii="Tahoma" w:hAnsi="Tahoma" w:cs="Tahoma"/>
      <w:sz w:val="16"/>
      <w:szCs w:val="16"/>
    </w:rPr>
  </w:style>
  <w:style w:type="paragraph" w:styleId="ab">
    <w:name w:val="footer"/>
    <w:basedOn w:val="a"/>
    <w:rsid w:val="003164BA"/>
    <w:pPr>
      <w:tabs>
        <w:tab w:val="center" w:pos="4153"/>
        <w:tab w:val="right" w:pos="8306"/>
      </w:tabs>
      <w:autoSpaceDE w:val="0"/>
      <w:autoSpaceDN w:val="0"/>
      <w:adjustRightInd w:val="0"/>
    </w:pPr>
  </w:style>
  <w:style w:type="paragraph" w:customStyle="1" w:styleId="1CharChar2">
    <w:name w:val="Знак Знак1 Char Char2"/>
    <w:basedOn w:val="a"/>
    <w:rsid w:val="007D7D8D"/>
    <w:pPr>
      <w:spacing w:after="240"/>
    </w:pPr>
    <w:rPr>
      <w:rFonts w:eastAsia="SimSun"/>
      <w:lang w:val="en-US" w:eastAsia="en-US"/>
    </w:rPr>
  </w:style>
  <w:style w:type="paragraph" w:customStyle="1" w:styleId="CharChar">
    <w:name w:val="Знак Знак Char Char"/>
    <w:basedOn w:val="a"/>
    <w:rsid w:val="00A4762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c">
    <w:name w:val=" Знак"/>
    <w:basedOn w:val="a"/>
    <w:rsid w:val="00592AC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d">
    <w:name w:val="Знак"/>
    <w:basedOn w:val="a"/>
    <w:rsid w:val="0058449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CharChar">
    <w:name w:val=" Знак Знак1 Char Char"/>
    <w:basedOn w:val="a"/>
    <w:link w:val="a0"/>
    <w:rsid w:val="006123B6"/>
    <w:pPr>
      <w:spacing w:after="160" w:line="240" w:lineRule="exact"/>
    </w:pPr>
    <w:rPr>
      <w:sz w:val="20"/>
      <w:szCs w:val="20"/>
      <w:lang w:val="en-GB" w:eastAsia="ru-RU"/>
    </w:rPr>
  </w:style>
  <w:style w:type="character" w:customStyle="1" w:styleId="5">
    <w:name w:val="Основной текст (5)_"/>
    <w:link w:val="50"/>
    <w:rsid w:val="008104E9"/>
    <w:rPr>
      <w:i/>
      <w:iCs/>
      <w:sz w:val="22"/>
      <w:szCs w:val="22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8104E9"/>
    <w:pPr>
      <w:widowControl w:val="0"/>
      <w:shd w:val="clear" w:color="auto" w:fill="FFFFFF"/>
      <w:spacing w:before="240" w:line="274" w:lineRule="exact"/>
      <w:jc w:val="both"/>
    </w:pPr>
    <w:rPr>
      <w:i/>
      <w:iCs/>
      <w:sz w:val="22"/>
      <w:szCs w:val="2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11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3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718</Words>
  <Characters>5551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AMCU</Company>
  <LinksUpToDate>false</LinksUpToDate>
  <CharactersWithSpaces>6257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Savenko</dc:creator>
  <cp:keywords/>
  <cp:lastModifiedBy>Виктория</cp:lastModifiedBy>
  <cp:revision>2</cp:revision>
  <cp:lastPrinted>2020-03-20T07:33:00Z</cp:lastPrinted>
  <dcterms:created xsi:type="dcterms:W3CDTF">2020-03-23T15:42:00Z</dcterms:created>
  <dcterms:modified xsi:type="dcterms:W3CDTF">2020-03-23T15:42:00Z</dcterms:modified>
</cp:coreProperties>
</file>