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67" w:rsidRPr="00B61319" w:rsidRDefault="00FD5967" w:rsidP="00FD5967">
      <w:pPr>
        <w:widowControl w:val="0"/>
        <w:tabs>
          <w:tab w:val="left" w:pos="1560"/>
        </w:tabs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noProof/>
          <w:kern w:val="3"/>
          <w:sz w:val="16"/>
          <w:szCs w:val="16"/>
          <w:lang w:val="uk-UA" w:eastAsia="ru-RU"/>
        </w:rPr>
      </w:pPr>
      <w:bookmarkStart w:id="0" w:name="_GoBack"/>
      <w:bookmarkEnd w:id="0"/>
      <w:r w:rsidRPr="00B61319">
        <w:rPr>
          <w:rFonts w:ascii="Times New Roman" w:eastAsia="Times New Roman" w:hAnsi="Times New Roman" w:cs="Times New Roman"/>
          <w:noProof/>
          <w:kern w:val="3"/>
          <w:sz w:val="24"/>
          <w:szCs w:val="24"/>
          <w:lang w:eastAsia="ru-RU"/>
        </w:rPr>
        <w:drawing>
          <wp:inline distT="0" distB="0" distL="0" distR="0" wp14:anchorId="59957DAA" wp14:editId="5702C5D0">
            <wp:extent cx="432000" cy="61889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67" w:rsidRPr="00B61319" w:rsidRDefault="00FD5967" w:rsidP="00FD5967">
      <w:pPr>
        <w:widowControl w:val="0"/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val="en-US" w:eastAsia="zh-CN"/>
        </w:rPr>
      </w:pPr>
    </w:p>
    <w:p w:rsidR="00FD5967" w:rsidRPr="00B61319" w:rsidRDefault="00FD5967" w:rsidP="00FD5967">
      <w:pPr>
        <w:widowControl w:val="0"/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eastAsia="zh-CN"/>
        </w:rPr>
      </w:pPr>
      <w:r w:rsidRPr="00B61319"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val="uk-UA" w:eastAsia="zh-CN"/>
        </w:rPr>
        <w:t>АНТИМОНОПОЛЬНИЙ КОМІТЕТ УКРАЇНИ</w:t>
      </w:r>
    </w:p>
    <w:p w:rsidR="00FD5967" w:rsidRPr="00B61319" w:rsidRDefault="00FD5967" w:rsidP="00FD5967">
      <w:pPr>
        <w:widowControl w:val="0"/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</w:pPr>
    </w:p>
    <w:p w:rsidR="00FD5967" w:rsidRPr="00B61319" w:rsidRDefault="00FD5967" w:rsidP="00FD5967">
      <w:pPr>
        <w:widowControl w:val="0"/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val="uk-UA" w:eastAsia="zh-CN"/>
        </w:rPr>
      </w:pPr>
      <w:r w:rsidRPr="00B61319"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val="uk-UA" w:eastAsia="zh-CN"/>
        </w:rPr>
        <w:t>РЕКОМЕНДАЦІЇ</w:t>
      </w:r>
    </w:p>
    <w:p w:rsidR="00FD5967" w:rsidRPr="00B61319" w:rsidRDefault="00FD5967" w:rsidP="00FD5967">
      <w:pPr>
        <w:widowControl w:val="0"/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</w:pPr>
    </w:p>
    <w:p w:rsidR="00FD5967" w:rsidRPr="00B61319" w:rsidRDefault="00FD5967" w:rsidP="00FD5967">
      <w:pPr>
        <w:widowControl w:val="0"/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</w:pPr>
    </w:p>
    <w:p w:rsidR="00FD5967" w:rsidRPr="00B61319" w:rsidRDefault="00F26566" w:rsidP="00FD5967">
      <w:pPr>
        <w:widowControl w:val="0"/>
        <w:tabs>
          <w:tab w:val="left" w:pos="8637"/>
        </w:tabs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13 лютого </w:t>
      </w:r>
      <w:r w:rsidR="0047290F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2020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B039B5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р.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                                                                   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                           №</w:t>
      </w:r>
      <w:r w:rsidR="00D7729F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3-рк</w:t>
      </w:r>
    </w:p>
    <w:p w:rsidR="006A44EB" w:rsidRPr="00B61319" w:rsidRDefault="006A44EB" w:rsidP="00FD5967">
      <w:pPr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FD5967" w:rsidRPr="00B61319" w:rsidRDefault="00F26566" w:rsidP="00C95F00">
      <w:pPr>
        <w:suppressAutoHyphens/>
        <w:autoSpaceDN w:val="0"/>
        <w:spacing w:before="80" w:after="80" w:line="240" w:lineRule="auto"/>
        <w:ind w:left="4395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Акціонерному товариству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«Укртрансгаз»</w:t>
      </w:r>
    </w:p>
    <w:p w:rsidR="00C95F00" w:rsidRPr="00B61319" w:rsidRDefault="00C95F00" w:rsidP="00C95F00">
      <w:pPr>
        <w:suppressAutoHyphens/>
        <w:autoSpaceDN w:val="0"/>
        <w:spacing w:before="80" w:after="80" w:line="240" w:lineRule="auto"/>
        <w:ind w:left="4395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FD5967" w:rsidRPr="00B61319" w:rsidRDefault="00C95F00" w:rsidP="00FD5967">
      <w:pPr>
        <w:suppressAutoHyphens/>
        <w:autoSpaceDN w:val="0"/>
        <w:spacing w:before="80" w:after="80" w:line="240" w:lineRule="auto"/>
        <w:ind w:left="4395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Товариству з обмеженою відповідальністю «Оператор газотранспортної системи України»</w:t>
      </w:r>
    </w:p>
    <w:p w:rsidR="00FD5967" w:rsidRPr="00B61319" w:rsidRDefault="00FD5967" w:rsidP="00FD5967">
      <w:pPr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7067A5" w:rsidRPr="00B61319" w:rsidRDefault="007067A5" w:rsidP="00FD5967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 припинення дій,</w:t>
      </w:r>
    </w:p>
    <w:p w:rsidR="007067A5" w:rsidRPr="00B61319" w:rsidRDefault="007067A5" w:rsidP="007067A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що можуть мати негативний</w:t>
      </w:r>
    </w:p>
    <w:p w:rsidR="00FD5967" w:rsidRPr="00B61319" w:rsidRDefault="007067A5" w:rsidP="007067A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вплив на конкуренцію</w:t>
      </w:r>
    </w:p>
    <w:p w:rsidR="006A44EB" w:rsidRPr="00B61319" w:rsidRDefault="006A44EB" w:rsidP="00CF05DA">
      <w:pPr>
        <w:suppressAutoHyphens/>
        <w:autoSpaceDN w:val="0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FD5967" w:rsidRPr="00B61319" w:rsidRDefault="00FD5967" w:rsidP="00FD5967">
      <w:pPr>
        <w:suppressAutoHyphens/>
        <w:autoSpaceDN w:val="0"/>
        <w:spacing w:before="80" w:after="8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Антимонопольний комітет України, розглянувши подання Департаменту досліджень і розслідувань ринків паливно-енергетичного комплексу та житлово-комуналь</w:t>
      </w:r>
      <w:r w:rsidR="009D791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ного господарства від 12.02.2020 № 128-01/74-П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</w:p>
    <w:p w:rsidR="00FD5967" w:rsidRPr="00B61319" w:rsidRDefault="00FD5967" w:rsidP="00FD5967">
      <w:pPr>
        <w:suppressAutoHyphens/>
        <w:autoSpaceDN w:val="0"/>
        <w:spacing w:before="80" w:after="8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val="uk-UA" w:eastAsia="zh-CN"/>
        </w:rPr>
      </w:pPr>
    </w:p>
    <w:p w:rsidR="00DF442E" w:rsidRPr="00B61319" w:rsidRDefault="00FD5967" w:rsidP="00DF442E">
      <w:pPr>
        <w:suppressAutoHyphens/>
        <w:autoSpaceDN w:val="0"/>
        <w:spacing w:before="80" w:after="8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>ВСТАНОВИВ:</w:t>
      </w:r>
    </w:p>
    <w:p w:rsidR="006D37D9" w:rsidRPr="00B61319" w:rsidRDefault="006D37D9" w:rsidP="00F26566">
      <w:pPr>
        <w:tabs>
          <w:tab w:val="left" w:pos="-142"/>
        </w:tabs>
        <w:spacing w:before="120" w:after="120" w:line="240" w:lineRule="auto"/>
        <w:ind w:left="896" w:hanging="896"/>
        <w:rPr>
          <w:rFonts w:ascii="Times New Roman" w:hAnsi="Times New Roman"/>
          <w:b/>
          <w:sz w:val="24"/>
          <w:szCs w:val="24"/>
          <w:lang w:val="en-US"/>
        </w:rPr>
      </w:pPr>
      <w:r w:rsidRPr="00B61319">
        <w:rPr>
          <w:rFonts w:ascii="Times New Roman" w:hAnsi="Times New Roman"/>
          <w:b/>
          <w:sz w:val="24"/>
          <w:szCs w:val="24"/>
          <w:lang w:val="uk-UA"/>
        </w:rPr>
        <w:t>1. ПРЕДМЕТ РЕКОМЕНДАЦІЙ</w:t>
      </w:r>
    </w:p>
    <w:p w:rsidR="006D37D9" w:rsidRPr="00B61319" w:rsidRDefault="006D37D9" w:rsidP="006D37D9">
      <w:pPr>
        <w:pStyle w:val="ae"/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</w:p>
    <w:p w:rsidR="006D37D9" w:rsidRPr="00B61319" w:rsidRDefault="006D37D9" w:rsidP="006D37D9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 Антимонопольному комітеті Укра</w:t>
      </w:r>
      <w:r w:rsidR="00F2656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їни здійснюється розгляд заяви т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овариства з обмеженою відповідальністю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(далі – ТОВ </w:t>
      </w:r>
      <w:r w:rsidR="00F2656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</w:t>
      </w:r>
      <w:proofErr w:type="spellStart"/>
      <w:r w:rsidR="000A429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0A429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», Товариство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) щодо порушення</w:t>
      </w:r>
      <w:r w:rsidR="0094324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на думку Заявника</w:t>
      </w:r>
      <w:r w:rsidR="0094324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акціонерним товариством «УКРТРАНСГАЗ» (далі – АТ «УКРТРАНСГАЗ») та приватним акціонерним товариством «НАЦІОНАЛЬНА АКЦІОНЕРНА КОМПАНІЯ «НАФТОГАЗ УКРАЇНИ» (далі – НАК «Нафтогаз України») законодавства про захист економічної конкуренції, передбаченого пунктом 2 статті 50, пунктом 7 частини другої статті 13 Закону України «Про захист економічної конкуренції»</w:t>
      </w:r>
      <w:r w:rsidR="00F2656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у вигляді зловживання монопольним (домінуючим) становищем на ринку природного газу.</w:t>
      </w:r>
    </w:p>
    <w:p w:rsidR="006A44EB" w:rsidRPr="00B61319" w:rsidRDefault="006A44EB" w:rsidP="006A44EB">
      <w:pPr>
        <w:widowControl w:val="0"/>
        <w:tabs>
          <w:tab w:val="left" w:pos="567"/>
        </w:tabs>
        <w:suppressAutoHyphens/>
        <w:autoSpaceDN w:val="0"/>
        <w:spacing w:before="80" w:after="8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6D37D9" w:rsidRPr="00B61319" w:rsidRDefault="006D37D9" w:rsidP="00F26566">
      <w:pPr>
        <w:tabs>
          <w:tab w:val="left" w:pos="-142"/>
        </w:tabs>
        <w:spacing w:before="120" w:after="120" w:line="240" w:lineRule="auto"/>
        <w:ind w:left="896" w:hanging="896"/>
        <w:rPr>
          <w:rFonts w:ascii="Times New Roman" w:hAnsi="Times New Roman"/>
          <w:b/>
          <w:sz w:val="24"/>
          <w:szCs w:val="24"/>
          <w:lang w:val="uk-UA"/>
        </w:rPr>
      </w:pPr>
      <w:r w:rsidRPr="00B61319">
        <w:rPr>
          <w:rFonts w:ascii="Times New Roman" w:hAnsi="Times New Roman"/>
          <w:b/>
          <w:sz w:val="24"/>
          <w:szCs w:val="24"/>
          <w:lang w:val="uk-UA"/>
        </w:rPr>
        <w:t>2. НОРМАТИВНО-ПРАВОВЕ РЕГУЛЮВАННЯ</w:t>
      </w:r>
    </w:p>
    <w:p w:rsidR="00FD5967" w:rsidRPr="00B61319" w:rsidRDefault="00FD5967" w:rsidP="006D37D9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val="uk-UA" w:eastAsia="zh-CN"/>
        </w:rPr>
      </w:pPr>
    </w:p>
    <w:p w:rsidR="00FD5967" w:rsidRPr="00B61319" w:rsidRDefault="00FD5967" w:rsidP="006D37D9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Правові засади функціонування ринку природного газу України, заснованого на принципах вільної конкуренції, належного захисту прав споживачів та безпеки </w:t>
      </w:r>
      <w:r w:rsidR="006D37D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риродного газу, визначаються Законом України «Про ринок природного газу» </w:t>
      </w:r>
      <w:r w:rsidR="00F2656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(далі – Закон).</w:t>
      </w:r>
    </w:p>
    <w:p w:rsidR="00FD5967" w:rsidRPr="00B61319" w:rsidRDefault="00FD5967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lastRenderedPageBreak/>
        <w:t>Ринок природного газу функціонує на засадах вільної добросовісної конкуренції, крім діяльності суб’єктів природних монополій, та за принципами, зокрема: недопущення та усунення обмежень конкуренції, спричинених діями суб’єктів ринку природного газу, у тому числі суб’єктів природних монополій та суб’єктів господарювання державної форми власності (пункт 7 частини першої статті 3 Закону).</w:t>
      </w:r>
    </w:p>
    <w:p w:rsidR="007C636E" w:rsidRPr="00B61319" w:rsidRDefault="00FD5967" w:rsidP="000B3E4F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Ринок природного газу являє собою комплекс правовідносин, що виникають у процесі постачання природного газу, купівлі-продажу, а також надання послуг з його транспортування, розподілу, зберігання (пункт 33 частини </w:t>
      </w:r>
      <w:r w:rsidR="007C636E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першої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статті 1 Закону).</w:t>
      </w:r>
    </w:p>
    <w:p w:rsidR="00FD5967" w:rsidRPr="00B61319" w:rsidRDefault="007C636E" w:rsidP="000B3E4F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Формування ресурсу</w:t>
      </w:r>
      <w:r w:rsidR="000B3E4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природного газу в Україні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відбувається внаслідок пропозиці</w:t>
      </w:r>
      <w:r w:rsidR="00FF5A9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ї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BA5E6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природного газу </w:t>
      </w:r>
      <w:r w:rsidR="00FF5A9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боку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вітчизняних газовидобувних підприємств</w:t>
      </w:r>
      <w:r w:rsidR="000B3E4F"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1"/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</w:t>
      </w:r>
      <w:r w:rsidR="00C37DA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суб’єктів ринку природного газу</w:t>
      </w:r>
      <w:r w:rsidR="00C37DAA"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2"/>
      </w:r>
      <w:r w:rsidR="00C37DA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які здійснюють імпорт природного газу</w:t>
      </w:r>
      <w:r w:rsidR="006F6F0E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BA5E6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6F6F0E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та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власників ресурсу природного газу, як</w:t>
      </w:r>
      <w:r w:rsidR="00C37DA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зберігають його в  сховищах </w:t>
      </w:r>
      <w:r w:rsidR="006F6F0E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природного газу (газосховищах)</w:t>
      </w:r>
      <w:r w:rsidR="006F6F0E"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3"/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.</w:t>
      </w:r>
    </w:p>
    <w:p w:rsidR="00A27FD3" w:rsidRPr="00B61319" w:rsidRDefault="00FD5967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Газовидобувні підприємства та </w:t>
      </w:r>
      <w:r w:rsidR="00A27FD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оптові продавці природного газу</w:t>
      </w:r>
      <w:r w:rsidR="00A27FD3"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4"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A27FD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 наявності ліцензії можуть також здійснювати діяльність з постачання природного газу</w:t>
      </w:r>
      <w:r w:rsidR="00A27FD3"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5"/>
      </w:r>
      <w:r w:rsidR="00A27FD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та, відповідно, виступати конкурентами на ринку постачання природного газу.</w:t>
      </w:r>
    </w:p>
    <w:p w:rsidR="00A27FD3" w:rsidRPr="00B61319" w:rsidRDefault="00132010" w:rsidP="00132010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Відповідно до статті 11 Закону України «Про нафту і газ» користування нафтогазоносними надрами</w:t>
      </w:r>
      <w:r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6"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пошук і розвідка родовищ нафти і газу, їх експлуатація, спорудження та експлуатація підземних сховищ для зберігання нафти і газу здійснюються лише за наявності спеціальних дозволів на користування нафтогазоносними надрами, що надаються центральним органом виконавчої влади, що реалізує державну політику у сфері геологічного вивчення та раціонального використання надр, на умовах, визначених чинним законодавством.</w:t>
      </w:r>
    </w:p>
    <w:p w:rsidR="00132010" w:rsidRPr="00B61319" w:rsidRDefault="00132010" w:rsidP="00132010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Спеціальний дозвіл на користування нафтогазоносними надрами – документ, що видається центральним органом виконавчої влади, що реалізує державну політику у сфері геологічного вивчення та раціонального використання надр і засвідчує право юридичної чи фізичної особи, якій цей документ виданий, на користування нафтогазоносними надрами протягом часу, в межах ділянки надр, на умовах, передбачених у цьому документі.</w:t>
      </w:r>
    </w:p>
    <w:p w:rsidR="008846B8" w:rsidRPr="00B61319" w:rsidRDefault="008846B8" w:rsidP="00132010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 пунктами 1 та 3 розділу Х Правил розробки нафтових і газових родовищ, затверджених наказом Міністерства екології та природних ресурсів України від 15</w:t>
      </w:r>
      <w:r w:rsidR="004E7E59"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.03.2017 № 118, зареєстрованим у</w:t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Міністерстві юстиції України 02.06.2017 за </w:t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>№ 692/30560 (далі – Правила), контроль за розробкою родовища (покладу</w:t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здійснюється користувачем надрами</w:t>
      </w:r>
      <w:r w:rsidRPr="00B61319">
        <w:rPr>
          <w:rStyle w:val="ac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footnoteReference w:id="7"/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або оператором (за наявності) за участю організації, що проектувала розробку, шляхом систематичного аналізу ходу розробки на основі регулярних вимірів і спостережень, а також комплексу досліджень, які проводяться на видобувних, спостережних, п’єзометричних, нагнітальних свердловинах.</w:t>
      </w:r>
    </w:p>
    <w:p w:rsidR="008846B8" w:rsidRPr="00B61319" w:rsidRDefault="008846B8" w:rsidP="006A4E85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Відповідно до розділу ХІІІ Правил</w:t>
      </w:r>
      <w:r w:rsidR="006A4E8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6A4E8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улаштування свердловин</w:t>
      </w:r>
      <w:r w:rsidR="006A4E85"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8"/>
      </w:r>
      <w:r w:rsidR="006A4E8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як один із основних етапів реалізації запроектованої системи розробки родовища (покладу), комплексного проекту на його облаштування здійснюється відповідно до затверджених робочих проектів (індивідуальних або групових).</w:t>
      </w:r>
    </w:p>
    <w:p w:rsidR="00EA1A91" w:rsidRPr="00B61319" w:rsidRDefault="006A4E85" w:rsidP="00EA1A91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При цьому конструкції параметричних, пошукових і розвідувальних свердловин повинні забезпечувати, зокрема, цементування обсадних колон, надійну герметизацію </w:t>
      </w:r>
      <w:proofErr w:type="spellStart"/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заколонного</w:t>
      </w:r>
      <w:proofErr w:type="spellEnd"/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</w:t>
      </w:r>
      <w:proofErr w:type="spellStart"/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міжколонного</w:t>
      </w:r>
      <w:proofErr w:type="spellEnd"/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простору, а конструкція експлуатаційних (видобувних) свердловин повинна, зокрема, забезпечувати якісне цементування обсадних колон й ізоляцію продуктивних горизонтів з використанням сучасної оснастки обсадних колон.</w:t>
      </w:r>
    </w:p>
    <w:p w:rsidR="00EA1A91" w:rsidRPr="00B61319" w:rsidRDefault="00EA1A91" w:rsidP="00EA1A91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 пунктом 31 Правил роботи з цементування обсадних колон закінчуються обов’язковим їх випробовуванням на герметичність, яке виконується згідно з чинними нормативно-технічними документами.</w:t>
      </w:r>
    </w:p>
    <w:p w:rsidR="00EA1A91" w:rsidRPr="00B61319" w:rsidRDefault="00EA1A91" w:rsidP="00EA1A91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Вимоги до спорудження та експлуатації нафтогазових свердловин регламентують Правила безпеки в нафтогазовидобувній промисловості України, затверджені наказом Державного комітету України з </w:t>
      </w:r>
      <w:r w:rsidRPr="00B61319">
        <w:rPr>
          <w:rFonts w:ascii="Times New Roman" w:hAnsi="Times New Roman" w:cs="Times New Roman"/>
          <w:sz w:val="24"/>
          <w:szCs w:val="24"/>
          <w:lang w:val="uk-UA"/>
        </w:rPr>
        <w:t xml:space="preserve">промислової безпеки, охорони праці та гірничого нагляду від 06.05.2008 </w:t>
      </w:r>
      <w:r w:rsidR="004E7E59" w:rsidRPr="00B61319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B61319">
        <w:rPr>
          <w:rFonts w:ascii="Times New Roman" w:hAnsi="Times New Roman" w:cs="Times New Roman"/>
          <w:sz w:val="24"/>
          <w:szCs w:val="24"/>
          <w:lang w:val="uk-UA"/>
        </w:rPr>
        <w:t xml:space="preserve"> 95, зареєстрованим </w:t>
      </w:r>
      <w:bookmarkStart w:id="1" w:name="o26"/>
      <w:bookmarkEnd w:id="1"/>
      <w:r w:rsidR="004E7E59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Міністерстві юстиц</w:t>
      </w:r>
      <w:r w:rsidR="004E7E59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ії України 2 червня 2008 р. за №</w:t>
      </w: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497/15188.</w:t>
      </w:r>
    </w:p>
    <w:p w:rsidR="004F63B2" w:rsidRPr="00B61319" w:rsidRDefault="00EA1A91" w:rsidP="004F63B2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Порядок контролю якості цементування обс</w:t>
      </w:r>
      <w:r w:rsidR="00B8070C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</w:t>
      </w: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дних колон регламентується </w:t>
      </w:r>
      <w:r w:rsidR="00B61319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ВБН В.2.4.-00013741-001:2008 «Споруджування свердловин на газ і нафту. Основні положення»</w:t>
      </w:r>
      <w:r w:rsidR="00B8070C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При цьому результати спуску обсадних колон і їх ц</w:t>
      </w:r>
      <w:r w:rsidR="004E7E59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ементування оформлюють актами за встановленою формою</w:t>
      </w:r>
      <w:r w:rsidR="00B8070C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 зберігають у справі свердловини протягом сього періоду їх експлуатації, разом із висновками геофізичних організацій щодо фактичного стану цементного каменю за обсадною колоною.</w:t>
      </w:r>
    </w:p>
    <w:p w:rsidR="004F63B2" w:rsidRPr="00B61319" w:rsidRDefault="00B8070C" w:rsidP="004F63B2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Відповідно до </w:t>
      </w:r>
      <w:r w:rsidR="004F63B2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Кодексу газотранспортної системи, затвердженого постановою Національної комісії, що здійснює державне регулювання у сферах енергетики та комунальних послуг</w:t>
      </w:r>
      <w:r w:rsidR="001E3B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="004F63B2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30.09.2015 № 2493,  зареєстрованою в М</w:t>
      </w:r>
      <w:r w:rsidR="00575282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іністерстві юстиції України </w:t>
      </w:r>
      <w:r w:rsidR="004F63B2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06.11.2015 за № 1378/27823 (далі – Кодекс ГТС):</w:t>
      </w:r>
    </w:p>
    <w:p w:rsidR="004F63B2" w:rsidRPr="00B61319" w:rsidRDefault="004F63B2" w:rsidP="004F63B2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Об’єкти (установки) газовидобувних підприємств, які мають намір приєднатися з метою передачі видобутого/виробленого ними газу до газотранспортної системи, приєднуються з урахуванням того, що видобутий/вироблений ними газ у місці його передачі до газотранспортної системи за своїми фізико-хімічними характеристиками має відповідати стандартам на природний газ, визначеним цим розділом. При цьому місце передачі газу має бути обладнано пристроями, які на безперервній основі забезпечують контроль фізико-хімічних показників газу (зокрема потоковий хроматограф, вимірювач температури точки роси тощо), з можливістю дистанційного їх контролю, передачі даних та відключення подачі неякісного газу до газотранспортної системи (пункт 4 глави 1 розділу VІ Кодексу </w:t>
      </w: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ГТС).</w:t>
      </w:r>
    </w:p>
    <w:p w:rsidR="004F63B2" w:rsidRPr="00B61319" w:rsidRDefault="004F63B2" w:rsidP="0078544E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Визначення </w:t>
      </w:r>
      <w:r w:rsidR="0078544E"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фізико-хімічних показників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природного газу у точках входу </w:t>
      </w:r>
      <w:r w:rsidR="0078544E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до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газотранспортної системи проводиться на комерційних </w:t>
      </w:r>
      <w:r w:rsidR="0078544E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вузлах обліку газу та пунктах вимірювання витрат газу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операторів суміжних систем (у тому числі суміжних газовидобувних підприємств) або інших суб’єктів, безпосередньо підключених до газотранспортної системи з використанням автоматичних потокових приладів (автоматичних хроматографів та вологомірів) та/або вимірювальних хіміко-аналітичних лабораторій (пункт 5 глави 1 розділу ІІІ Кодексу ГТС).</w:t>
      </w:r>
    </w:p>
    <w:p w:rsidR="00F64E78" w:rsidRPr="00B61319" w:rsidRDefault="0078544E" w:rsidP="00F64E78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Оператор газотранспортної системи</w:t>
      </w:r>
      <w:r w:rsidRPr="00B61319">
        <w:rPr>
          <w:rStyle w:val="ac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footnoteReference w:id="9"/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має право не приймати у точках входу в газотранспортну систему природний газ у випадках невідповідності </w:t>
      </w:r>
      <w:r w:rsidRPr="00B613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фізико-хімічних показників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природного газу </w:t>
      </w:r>
      <w:r w:rsidRPr="00B6131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параметрам, за недотримання яких типовим договором транспортування природного газу, затвердженого Регулятором, передбачено сплату додаткових плат (пункт 15 глави 1 розділу III Кодексу ГТС).</w:t>
      </w:r>
    </w:p>
    <w:p w:rsidR="006D37D9" w:rsidRPr="00B61319" w:rsidRDefault="00C95F00" w:rsidP="00F64E78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Особливості обліку природного газу у точках входу та точках виходу між оператором газотранспортної системи т</w:t>
      </w:r>
      <w:r w:rsidR="0057528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а операторами суміжних систем (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крім оператора газорозподільних систем) або іншими суб’єктами, безпосередньо підключеними до газотранспортної системи, регулюються Кодексом ГТС та технічною угодою, що укладається між вказа</w:t>
      </w:r>
      <w:r w:rsidR="0057528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ними суб’єктами.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</w:p>
    <w:p w:rsidR="006D37D9" w:rsidRPr="00B61319" w:rsidRDefault="0078544E" w:rsidP="006D37D9">
      <w:pPr>
        <w:tabs>
          <w:tab w:val="left" w:pos="0"/>
        </w:tabs>
        <w:spacing w:before="240" w:after="24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61319">
        <w:rPr>
          <w:rFonts w:ascii="Times New Roman" w:hAnsi="Times New Roman"/>
          <w:b/>
          <w:sz w:val="24"/>
          <w:szCs w:val="24"/>
          <w:lang w:val="uk-UA"/>
        </w:rPr>
        <w:t>3</w:t>
      </w:r>
      <w:r w:rsidR="000A4298" w:rsidRPr="00B6131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B6131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D37D9" w:rsidRPr="00B61319">
        <w:rPr>
          <w:rFonts w:ascii="Times New Roman" w:hAnsi="Times New Roman"/>
          <w:b/>
          <w:sz w:val="24"/>
          <w:szCs w:val="24"/>
          <w:lang w:val="uk-UA"/>
        </w:rPr>
        <w:t xml:space="preserve">ОБСТАВИНИ, ВСТАНОВЛЕНІ </w:t>
      </w:r>
      <w:r w:rsidRPr="00B61319">
        <w:rPr>
          <w:rFonts w:ascii="Times New Roman" w:hAnsi="Times New Roman"/>
          <w:b/>
          <w:sz w:val="24"/>
          <w:szCs w:val="24"/>
          <w:lang w:val="uk-UA"/>
        </w:rPr>
        <w:t>В ХОДІ</w:t>
      </w:r>
      <w:r w:rsidR="006D37D9" w:rsidRPr="00B61319">
        <w:rPr>
          <w:rFonts w:ascii="Times New Roman" w:hAnsi="Times New Roman"/>
          <w:b/>
          <w:sz w:val="24"/>
          <w:szCs w:val="24"/>
          <w:lang w:val="uk-UA"/>
        </w:rPr>
        <w:t xml:space="preserve"> РОЗГЛЯДУ ЗАЯВИ</w:t>
      </w:r>
    </w:p>
    <w:p w:rsidR="000A4298" w:rsidRPr="00B61319" w:rsidRDefault="00575282" w:rsidP="00332A0D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ТОВ </w:t>
      </w:r>
      <w:r w:rsidR="000A429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</w:t>
      </w:r>
      <w:proofErr w:type="spellStart"/>
      <w:r w:rsidR="000A429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0A429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здійснює </w:t>
      </w:r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геологічне вивчення, у тому числі дослідно-промислову розробку нафти, природного газу, конденсату на </w:t>
      </w:r>
      <w:proofErr w:type="spellStart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Добрівлянській</w:t>
      </w:r>
      <w:proofErr w:type="spellEnd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площі, розташованій у </w:t>
      </w:r>
      <w:proofErr w:type="spellStart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Стрийському</w:t>
      </w:r>
      <w:proofErr w:type="spellEnd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районі Львівської області, </w:t>
      </w:r>
      <w:r w:rsidR="000A429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 підставі спеціального дозволу на користування надрами від 12.04.2016 № 4748 (далі – спецдозвіл), виданого Державною службою геології та надр України. </w:t>
      </w:r>
    </w:p>
    <w:p w:rsidR="00332A0D" w:rsidRPr="00B61319" w:rsidRDefault="00332A0D" w:rsidP="00332A0D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Спецдозволом встановлено обмеження щодо глибини використання родовища:</w:t>
      </w:r>
    </w:p>
    <w:p w:rsidR="00332A0D" w:rsidRPr="00B61319" w:rsidRDefault="00575282" w:rsidP="00332A0D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 ділянці перетину </w:t>
      </w:r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</w:t>
      </w:r>
      <w:proofErr w:type="spellStart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Угерським</w:t>
      </w:r>
      <w:proofErr w:type="spellEnd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газосховищем – нижче 800 м;</w:t>
      </w:r>
    </w:p>
    <w:p w:rsidR="00332A0D" w:rsidRPr="00B61319" w:rsidRDefault="00575282" w:rsidP="00332A0D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 ділянці перетину </w:t>
      </w:r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</w:t>
      </w:r>
      <w:proofErr w:type="spellStart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Більче-Волицько-Угерським</w:t>
      </w:r>
      <w:proofErr w:type="spellEnd"/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газосховищем – </w:t>
      </w:r>
      <w:r w:rsidR="00332A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нижче 1100 м.</w:t>
      </w:r>
    </w:p>
    <w:p w:rsidR="00332A0D" w:rsidRPr="00B61319" w:rsidRDefault="00332A0D" w:rsidP="000A429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Надання спецдозволу було погоджено:</w:t>
      </w:r>
    </w:p>
    <w:p w:rsidR="00332A0D" w:rsidRPr="00B61319" w:rsidRDefault="00332A0D" w:rsidP="00332A0D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Львівською обласною радою (рішення від 09.12.2014 № 1269);</w:t>
      </w:r>
    </w:p>
    <w:p w:rsidR="00332A0D" w:rsidRPr="00B61319" w:rsidRDefault="00332A0D" w:rsidP="00332A0D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Мінприроди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(лист від 09.04.2015 № 5/3-6/3837-15)</w:t>
      </w:r>
      <w:r w:rsidR="00156CF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;</w:t>
      </w:r>
    </w:p>
    <w:p w:rsidR="00156CF9" w:rsidRPr="00B61319" w:rsidRDefault="00156CF9" w:rsidP="00332A0D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Держгірпромнагляд (лист від 26.12.2014 № 9352/0/3.1-07/6/14);</w:t>
      </w:r>
    </w:p>
    <w:p w:rsidR="00156CF9" w:rsidRPr="00B61319" w:rsidRDefault="00156CF9" w:rsidP="00332A0D">
      <w:pPr>
        <w:widowControl w:val="0"/>
        <w:numPr>
          <w:ilvl w:val="8"/>
          <w:numId w:val="1"/>
        </w:numPr>
        <w:tabs>
          <w:tab w:val="left" w:pos="1134"/>
        </w:tabs>
        <w:suppressAutoHyphens/>
        <w:autoSpaceDN w:val="0"/>
        <w:spacing w:before="80" w:after="80" w:line="240" w:lineRule="auto"/>
        <w:ind w:left="1134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ПАТ «Укртрансгаз»</w:t>
      </w:r>
      <w:r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10"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(лист від 17.12.2015 № 16057/18-004).</w:t>
      </w:r>
    </w:p>
    <w:p w:rsidR="000A4298" w:rsidRPr="00B61319" w:rsidRDefault="000A4298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АТ «Укртрансгаз» </w:t>
      </w:r>
      <w:r w:rsidR="000B04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лист</w:t>
      </w:r>
      <w:r w:rsidR="000B04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від 17.12.2015 № 16057/18-004 </w:t>
      </w:r>
      <w:r w:rsidR="000B04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зазначило, що не заперечує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0B04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можливості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продаж</w:t>
      </w:r>
      <w:r w:rsidR="000B04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на аукціоні спецдозволу на користування надрами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Добрівлянської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площі, яка знаходиться в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Стрийському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районі Львівської області, за умови обмеження його по глибинах відносно розташованих поруч покладів підземних сховищ газу (далі – ПСГ) (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Угерського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Більче-Волицько-Угерського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) та з дотриманням усіх вимог чинних нормативно-правових актів.</w:t>
      </w:r>
    </w:p>
    <w:p w:rsidR="00080FC5" w:rsidRPr="00B61319" w:rsidRDefault="00080FC5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lastRenderedPageBreak/>
        <w:t>Філією «Управління магістральних газопроводів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Львівтрансгаз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ПАТ «Укртрансгаз» було видано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Технічні умови від 23.06.2016 № 16-26 на приєднання УПГ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Добрівлянське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до газотранспортної системи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ПАТ «Укртрансгаз» (далі – Технічні умови).</w:t>
      </w:r>
    </w:p>
    <w:p w:rsidR="00080FC5" w:rsidRPr="00B61319" w:rsidRDefault="00080FC5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Пунктом 8.8 Техні</w:t>
      </w:r>
      <w:r w:rsidR="0057528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чних умов 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частині визначення фізико-хімічних показників газу передбачено необхідність забезпечення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</w:t>
      </w:r>
      <w:r w:rsidR="0057528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тогаз</w:t>
      </w:r>
      <w:proofErr w:type="spellEnd"/>
      <w:r w:rsidR="0057528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виконання вимог глави 1 р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озділу ІІІ Кодексу ГТС, зокрема, встановити потоковий хроматограф для визна</w:t>
      </w:r>
      <w:r w:rsidR="00C726C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чення компонентного складу газу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потоковий вологомір для визначення температури точки роси за вологою і вуглеводнями, з можливістю дистанційного контролю та передачі даних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Стрийському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ВУПЗГ УМГ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Львівтрансгаз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». Для визначення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сполук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сірки та механічних домішок допускається використання лабораторних методів. </w:t>
      </w:r>
    </w:p>
    <w:p w:rsidR="00E804E5" w:rsidRPr="00B61319" w:rsidRDefault="00E804E5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Листом ПАТ «Укртрансгаз» від 10.03.2017 № 3150/22-004 за результатами розгляду звернення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від 07.02.2017 № 29/03/17 погоджено встановлення потокового хроматографа та вологоміра на УПГ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Добрівлянське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для визначення компонентного складу газу та температури точки роси за вологою та вуглеводням</w:t>
      </w:r>
      <w:r w:rsidR="00C726C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и до кінця 2017 року. При цьому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ПАТ «Укртрансгаз» зазначило про необхідність забезпечення з боку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визначення теплоти згоряння, компонентного складу газу та температури точки роси за вологою та вуглеводнями з використанням уповноважених хіміко-аналітичних лабораторій з періодичністю не рідше </w:t>
      </w:r>
      <w:r w:rsidR="00C726C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одного разу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на тиждень.</w:t>
      </w:r>
    </w:p>
    <w:p w:rsidR="00E804E5" w:rsidRPr="00B61319" w:rsidRDefault="00E804E5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Листом ПАТ «Укртрансгаз» від 24.03.2017 № 2943/16-009 </w:t>
      </w:r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надано дозвіл </w:t>
      </w:r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УМГ «</w:t>
      </w:r>
      <w:proofErr w:type="spellStart"/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Львівтрансгаз</w:t>
      </w:r>
      <w:proofErr w:type="spellEnd"/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провести роботи з підключення об’</w:t>
      </w:r>
      <w:r w:rsidR="00C726C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єкта</w:t>
      </w:r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приєднання </w:t>
      </w:r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 xml:space="preserve">(УПГ </w:t>
      </w:r>
      <w:proofErr w:type="spellStart"/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Добрівлянське</w:t>
      </w:r>
      <w:proofErr w:type="spellEnd"/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).</w:t>
      </w:r>
    </w:p>
    <w:p w:rsidR="00456047" w:rsidRPr="00B61319" w:rsidRDefault="00456047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Між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та ПАТ «Укртрансгаз» укладено Технічну угоду про умови приймання-передачі природного газу від 27.03.2017 № 2017-СНГ/ЛТГ (далі – Технічна угода).</w:t>
      </w:r>
    </w:p>
    <w:p w:rsidR="00456047" w:rsidRPr="00B61319" w:rsidRDefault="00C726C6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Відповідно до пункту 6.1</w:t>
      </w:r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Технічної угоди визначення фізико-хімічних показників природного газу у точках входу газотранспортної системи проводиться на комерційних вузлах обліку газу (пунктах вимірювання витрат газу) суб’єктів, безпосередньо підключених до газотранспортної системи, з використанням автоматичних потокових приладів (автоматичних хроматографів та вологомірів), та/або вимірювальних хіміко-аналітичних лабораторій. До моменту встановлення вологоміра, а саме: до кінця </w:t>
      </w:r>
      <w:r w:rsidR="003B4EB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поточного </w:t>
      </w:r>
      <w:r w:rsidR="0045604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року</w:t>
      </w:r>
      <w:r w:rsidR="003B4EB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 моменту введення вузла обліку газу (пункту вимірювання витрат газу) в експлуатацію, ТОВ «</w:t>
      </w:r>
      <w:proofErr w:type="spellStart"/>
      <w:r w:rsidR="003B4EB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3B4EB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має право проводити контроль компонентного складу, теплоти згоряння та температури точки роси по </w:t>
      </w:r>
      <w:proofErr w:type="spellStart"/>
      <w:r w:rsidR="003B4EB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волозі</w:t>
      </w:r>
      <w:proofErr w:type="spellEnd"/>
      <w:r w:rsidR="003B4EB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вуглеводням природного газу за допомогою хіміко-аналітичних лабораторій.</w:t>
      </w:r>
    </w:p>
    <w:p w:rsidR="00E804E5" w:rsidRPr="00B61319" w:rsidRDefault="003B4EB6" w:rsidP="000B0426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Згідно з Актом введення в комерційну експлуатацію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хроматографічно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-аналітичного комплексу ПВВГ УПГ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proofErr w:type="spellStart"/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Добрівлянське</w:t>
      </w:r>
      <w:proofErr w:type="spellEnd"/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від 07.12.2018, 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процесі випробувань були підтверджені метрологічні і технічні характеристики хроматографа та гігрометра, заявлені заводом-виробником. На основі результатів проведених випробувань прийнято рішення 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ввести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потоко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ви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й хроматограф 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  <w:t>Rose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-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  <w:t>mount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370 ХА 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  <w:t>SN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: 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Н-17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  <w:t>J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36040228 та потоковий гігрометр ТОРОС-3-1 зав. № 656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 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комерційну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експлуатацію 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07:00 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8 грудня 2018 року.</w:t>
      </w:r>
    </w:p>
    <w:p w:rsidR="000B0426" w:rsidRPr="00B61319" w:rsidRDefault="000A4298" w:rsidP="004338A3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На підставі спецдозволу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пробурено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</w:t>
      </w:r>
      <w:r w:rsidR="0049486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наразі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експлуатується сім свердловин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Добрівлянської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площі. </w:t>
      </w:r>
    </w:p>
    <w:p w:rsidR="00FD5967" w:rsidRPr="00B61319" w:rsidRDefault="000A4298" w:rsidP="000A429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</w:t>
      </w:r>
      <w:r w:rsidR="004338A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також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здійснює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діяльність 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 постачання природного газу відповідно до ліцензії, виданої Національною комісією, що здійснює державне регулювання у сферах енергетики та комунальних посл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уг, постановою від 16.05.2017 № 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653.</w:t>
      </w:r>
    </w:p>
    <w:p w:rsidR="00FD5967" w:rsidRPr="00B61319" w:rsidRDefault="000A4298" w:rsidP="004338A3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lastRenderedPageBreak/>
        <w:t>За інформацією, наданою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», Товариство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здійснює постачання природного газу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65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споживачам, зокрема ТОВ «</w:t>
      </w:r>
      <w:proofErr w:type="spellStart"/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Богородчанинафтогаз</w:t>
      </w:r>
      <w:proofErr w:type="spellEnd"/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4338A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(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смт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proofErr w:type="spellStart"/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Богородчан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и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Івано-Франківська о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бл.), ТОВ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</w:t>
      </w:r>
      <w:proofErr w:type="spellStart"/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Теплобуд</w:t>
      </w:r>
      <w:proofErr w:type="spellEnd"/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(м. К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иїв), ТОВ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«НАДРА ЕНЕРДЖІ» (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м. Київ), ТОВ «Регіон Постач Груп» (м. Київ), ПрАТ «Ензим» (</w:t>
      </w:r>
      <w:r w:rsidR="004338A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м. Львів), ТОВ СВП Завод </w:t>
      </w:r>
      <w:proofErr w:type="spellStart"/>
      <w:r w:rsidR="004338A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Промкерам</w:t>
      </w:r>
      <w:proofErr w:type="spellEnd"/>
      <w:r w:rsidR="004338A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</w:t>
      </w:r>
      <w:proofErr w:type="spellStart"/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Голд</w:t>
      </w:r>
      <w:proofErr w:type="spellEnd"/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Кераміка» (м. Київ), АТ </w:t>
      </w:r>
      <w:r w:rsidR="004338A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«Чернівецький Хлібокомбінат» (м. Чернівці) </w:t>
      </w:r>
      <w:r w:rsidR="00FD5967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та іншим.</w:t>
      </w:r>
    </w:p>
    <w:p w:rsidR="00FD5967" w:rsidRPr="00B61319" w:rsidRDefault="00FD5967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АТ «Укртрансгаз» здійснює діяльність зі зберігання природного газу, газу (метану) вугільних родовищ відповідно до ліцензії, виданої </w:t>
      </w:r>
      <w:r w:rsidR="004338A3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постановою Національної комісії, що здійснює державне регулювання у сфері енергетики (далі – НКРЕ)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від 28.02.2013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№ 212</w:t>
      </w:r>
      <w:r w:rsidR="00F64E7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та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F64E7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відповідно, є Оператором газосховища.</w:t>
      </w:r>
    </w:p>
    <w:p w:rsidR="00651038" w:rsidRPr="00B61319" w:rsidRDefault="00651038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Між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та ПАТ «Укртрансгаз» укладено договір зберігання (закачування, відбору) природного газу від 26.04.2018 № 1804000456.</w:t>
      </w:r>
    </w:p>
    <w:p w:rsidR="00F64E78" w:rsidRPr="00B61319" w:rsidRDefault="004338A3" w:rsidP="00F64E7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До 01.01.2020 АТ «Укртрансгаз» також здійснювало діяльність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транспортування природного газу трубопроводами відповідно до ліцензії, виданої постановою НКРЕ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 xml:space="preserve">від 28.02.2013 № </w:t>
      </w:r>
      <w:r w:rsidR="00F64E7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211, та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F64E7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відповідно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F64E7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виступало Оператором ГТС.</w:t>
      </w:r>
    </w:p>
    <w:p w:rsidR="00651038" w:rsidRPr="00B61319" w:rsidRDefault="00651038" w:rsidP="0065103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Між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та АТ «Укртрансгаз» укладено договір транспортування природного газу від 19.09.2018 № 1807000644.</w:t>
      </w:r>
    </w:p>
    <w:p w:rsidR="00F64E78" w:rsidRPr="00B61319" w:rsidRDefault="00F64E78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01.01.2020 діяльність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транспортування природного газу трубопроводами здійснює ТОВ «Оператор газотранспортної системи України» </w:t>
      </w:r>
      <w:r w:rsidR="0065103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відповідно до ліцензії, виданої постановою Національної комісії, що здійснює державне регулювання у сферах енергетики та комунальних послуг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(далі – НКРЕКП)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65103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від 24.12.2019 № 3011.</w:t>
      </w:r>
    </w:p>
    <w:p w:rsidR="00651038" w:rsidRPr="00B61319" w:rsidRDefault="00651038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 інформацією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», між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та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ТОВ «Оператор газотранспортної системи України» укладено Технічну угоду про умови приймання-передачі природного газу з 01.01.2020.</w:t>
      </w:r>
    </w:p>
    <w:p w:rsidR="00FD5967" w:rsidRPr="00B61319" w:rsidRDefault="00FD5967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Акціонерне товариство «Національна акціонерна компанія «Нафтогаз України»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 xml:space="preserve">(далі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– НАК «Нафтогаз України») є вертикально-інтегрованою нафтогазовою компанією, яка здійснює повний цикл операцій з розвідки та розробки родовищ, експлуатаційного та розвідувального буріння, транспортування та зберігання нафти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 газу, постачання природного і скрапленого газу споживачам</w:t>
      </w:r>
      <w:r w:rsidR="002C21C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.</w:t>
      </w:r>
      <w:r w:rsidR="002C21C9"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11"/>
      </w:r>
    </w:p>
    <w:p w:rsidR="00040128" w:rsidRPr="00B61319" w:rsidRDefault="00040128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АТ «Укртрансгаз» пов’язане з НАК «Нафтогаз України» відносинами контролю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у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розумінні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статті 1 Закону України «Про захист економічної конкуренції»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входить до складу Групи НАФТОГАЗ.</w:t>
      </w:r>
      <w:r w:rsidRPr="00B61319">
        <w:rPr>
          <w:rStyle w:val="ac"/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footnoteReference w:id="12"/>
      </w:r>
    </w:p>
    <w:p w:rsidR="00040128" w:rsidRPr="00B61319" w:rsidRDefault="00040128" w:rsidP="00FD5967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НАК «Нафтогаз України» здійснює діяльність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 постачання природного газу відповідно до ліцензії, виданої постановою НКРЕКП від 21.07.2017 № 527.</w:t>
      </w:r>
    </w:p>
    <w:p w:rsidR="00040128" w:rsidRPr="00B61319" w:rsidRDefault="00040128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>Отже, ТОВ «</w:t>
      </w:r>
      <w:proofErr w:type="spellStart"/>
      <w:r w:rsidRPr="00B61319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>» та НАК «Нафтогаз України» є конкурентами на ринку постачання природного газу.</w:t>
      </w:r>
    </w:p>
    <w:p w:rsidR="00E44FC8" w:rsidRPr="00B61319" w:rsidRDefault="00E44FC8" w:rsidP="00E44FC8">
      <w:pPr>
        <w:pStyle w:val="ae"/>
        <w:numPr>
          <w:ilvl w:val="3"/>
          <w:numId w:val="1"/>
        </w:numPr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За інформацією АТ «Укртрансгаз», оскільки геологічне вивчення нафтогазоносних надр, у тому числі дослідно-промислової розробки родовищ, з подальшим видобуванням газу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ТОВ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здійснює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безпосередньо в межах робочих свердловин підземних сховищ газу, існують ризики щодо можливості прямо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го видобування природного газу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 підземних сховищ газу АТ «Укртрансгаз».</w:t>
      </w:r>
    </w:p>
    <w:p w:rsidR="00040128" w:rsidRPr="00B61319" w:rsidRDefault="00E44FC8" w:rsidP="00E44FC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 огляду на зазначене, у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лютому 2019 року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за ініціативою АТ «Укртрансгаз» в особі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lastRenderedPageBreak/>
        <w:t xml:space="preserve">філії «Оператор газосховищ України» було 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затверд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жено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узгод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жено з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«Перелік заходів з контролю герметичності </w:t>
      </w:r>
      <w:proofErr w:type="spellStart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Більче-Волицько-Угерського</w:t>
      </w:r>
      <w:proofErr w:type="spellEnd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</w:t>
      </w:r>
      <w:proofErr w:type="spellStart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Угерсько</w:t>
      </w:r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го</w:t>
      </w:r>
      <w:proofErr w:type="spellEnd"/>
      <w:r w:rsidR="00A3204A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ПСГ на 2019 рік і запобігання виникненню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proofErr w:type="spellStart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газогідродинамічного</w:t>
      </w:r>
      <w:proofErr w:type="spellEnd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зв’язку між об’єктами ПСГ та експлуатаційними об’єктами видобутку ТОВ «</w:t>
      </w:r>
      <w:proofErr w:type="spellStart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(далі – Перелік заходів).</w:t>
      </w:r>
    </w:p>
    <w:p w:rsidR="00040128" w:rsidRPr="00B61319" w:rsidRDefault="00937BCB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Вказаний Перелік заходів передбачає, зокрема, необхідність визначення герметичності підземного обладнання, оцінку герметичності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заколонного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простору, відсутності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заколонних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перетоків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пластових флюїдів між продуктивними горизонтами – експлуатаційними об’єктами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».</w:t>
      </w:r>
    </w:p>
    <w:p w:rsidR="00E44FC8" w:rsidRPr="00B61319" w:rsidRDefault="00E44FC8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 виконання Переліку заходів </w:t>
      </w:r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підрядною геофізичною організацією ТОВ «ПУГР»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(за договором з 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 «</w:t>
      </w:r>
      <w:proofErr w:type="spellStart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</w:t>
      </w:r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)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18.07.2019 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було проведено </w:t>
      </w:r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промислово-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геофізичні дослідження </w:t>
      </w:r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у свердловині № 4 </w:t>
      </w:r>
      <w:proofErr w:type="spellStart"/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Добрівлянська</w:t>
      </w:r>
      <w:proofErr w:type="spellEnd"/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. Відповідно до висновку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BD4DC1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за результатами вказаних досліджень 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</w:t>
      </w:r>
      <w:r w:rsidR="00F94E7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експлуатаційна колона та НК</w:t>
      </w:r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</w:t>
      </w:r>
      <w:r w:rsidR="00F94E7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 інтервалі виконаних досліджень герметичні, </w:t>
      </w:r>
      <w:proofErr w:type="spellStart"/>
      <w:r w:rsidR="00F94E7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заколонних</w:t>
      </w:r>
      <w:proofErr w:type="spellEnd"/>
      <w:r w:rsidR="00F94E7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proofErr w:type="spellStart"/>
      <w:r w:rsidR="00F94E7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перетоків</w:t>
      </w:r>
      <w:proofErr w:type="spellEnd"/>
      <w:r w:rsidR="00F94E7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не спостерігається</w:t>
      </w:r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; </w:t>
      </w:r>
      <w:proofErr w:type="spellStart"/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газогідродинамічний</w:t>
      </w:r>
      <w:proofErr w:type="spellEnd"/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зв’язок між об’єктами підземних газосховищ та експлуатаційним об’єктом відсутній; НКТ та експлуатаційна колона в інтервалах об’єктів підземних газосховищ герметичні</w:t>
      </w:r>
      <w:r w:rsidR="001E3B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</w:t>
      </w:r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.</w:t>
      </w:r>
    </w:p>
    <w:p w:rsidR="00F94E7C" w:rsidRPr="00B61319" w:rsidRDefault="00A010F9" w:rsidP="00F94E7C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 інформацією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», внаслідок виконання геофізичних досліджень було порушено режим роботи свердловини № 4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Добрівлянська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що призвело до її обводнення та зупинки</w:t>
      </w:r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. Після проведення капітального ремонту вказаної свердловини відновити її роботу не вдалося.</w:t>
      </w:r>
    </w:p>
    <w:p w:rsidR="009B440D" w:rsidRPr="00B61319" w:rsidRDefault="00F94E7C" w:rsidP="00F94E7C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Витрати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 проведення геофізичних досліджень свердловини </w:t>
      </w:r>
      <w:r w:rsidR="00405F6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№ 4 </w:t>
      </w:r>
      <w:proofErr w:type="spellStart"/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</w:t>
      </w:r>
      <w:r w:rsidR="00405F6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івлянська</w:t>
      </w:r>
      <w:proofErr w:type="spellEnd"/>
      <w:r w:rsidR="00405F6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становили 350 000 грн</w:t>
      </w:r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при цьому</w:t>
      </w:r>
      <w:r w:rsidR="00405F6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за підрахунками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 «</w:t>
      </w:r>
      <w:proofErr w:type="spellStart"/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»,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порушення режиму роботи вказаної свердловини </w:t>
      </w:r>
      <w:r w:rsidR="009B440D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призвело до отримання збитків (недоотримання доходу) за період з 14.09.2019 по 24.10.2019 (включно) у розмірі 4 425 840,50 грн.</w:t>
      </w:r>
    </w:p>
    <w:p w:rsidR="00F94E7C" w:rsidRPr="00B61319" w:rsidRDefault="00F94E7C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 інформацією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», 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подальш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е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виконання Переліку заходів</w:t>
      </w:r>
      <w:r w:rsidR="00405F6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зокрема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405F6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частині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проведення вимірів статистичних тисків та геофізичних досліджень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інших свердловин</w:t>
      </w:r>
      <w:r w:rsidR="0004012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може призвести до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неможливості відновлення їх роботи. </w:t>
      </w:r>
    </w:p>
    <w:p w:rsidR="00F94E7C" w:rsidRPr="00B61319" w:rsidRDefault="00405F68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При цьому</w:t>
      </w:r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АТ «Укртрансгаз» листом від 30.09.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2019 № 1001ВИХ-19/4490 звернулося до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», в</w:t>
      </w:r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якому АТ «Укртрансгаз» наполягало на невідкладному виконанні  ТОВ «</w:t>
      </w:r>
      <w:proofErr w:type="spellStart"/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6014AC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Переліку заходів. </w:t>
      </w:r>
    </w:p>
    <w:p w:rsidR="006014AC" w:rsidRPr="00B61319" w:rsidRDefault="006014AC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 відповідь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листом від 18.10.2019 № 333/10/19 поінформувало АТ «Укртрансгаз»</w:t>
      </w:r>
      <w:r w:rsidR="00405F68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про понесення значних збитків 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наслідок виконання Переліку заходів та запропонувало новий перелік заходів, який би враховував інтереси сторін і не завдавав фінансових збитків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».</w:t>
      </w:r>
    </w:p>
    <w:p w:rsidR="007E076F" w:rsidRPr="00B61319" w:rsidRDefault="007E076F" w:rsidP="00040128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АТ «Укртрансгаз» у листі від 12.11.2019 № 1001ВИХ-19-5448, адресованому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», зазначило, що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проведено геофізичні дослідження лише на свердловині № 4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Добрівлянська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18063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 семи діючих, та наголосило на необхідності невідкладного виконання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="00180634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Переліку заходів, узгодженого в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лютому 2019 року.</w:t>
      </w:r>
    </w:p>
    <w:p w:rsidR="007E076F" w:rsidRPr="00B61319" w:rsidRDefault="007E076F" w:rsidP="007E076F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 інформацією Івано-Франківського національного технічного університету нафти і газу, наданою листом від 13.12.2019 № 67-27-112/37 (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вх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. Комітету від 23.12.2019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№ 10-07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/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15511), законодавством України не передбачено окремого переліку заходів, які мають бути здійснені з метою герметичності свердловин, у разі їх розташування в інтервалах ПСГ.</w:t>
      </w:r>
    </w:p>
    <w:p w:rsidR="007E076F" w:rsidRPr="00B61319" w:rsidRDefault="007E076F" w:rsidP="007E076F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Газогідродинамічний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зв’язок між свердловинами виникає лише за наявності відповідного каналу, здатного забезпечити міграцію пластових флюїдів. Першочерговою та найбільш очевидною ознакою такого зв’язку є ідентичність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lastRenderedPageBreak/>
        <w:t xml:space="preserve">компонентного складу та фізико-хімічних властивостей природного газу, а також порівняння динаміки пластових тисків і відборів газу з продуктивного горизонту та горизонту, що слугує підземним газосховищем. </w:t>
      </w:r>
    </w:p>
    <w:p w:rsidR="007E076F" w:rsidRPr="00B61319" w:rsidRDefault="007E076F" w:rsidP="007E076F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Відповідно до </w:t>
      </w:r>
      <w:r w:rsidR="00211A4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копій паспортів свердловин № 1-7 </w:t>
      </w:r>
      <w:proofErr w:type="spellStart"/>
      <w:r w:rsidR="00211A4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Добрівлянська</w:t>
      </w:r>
      <w:proofErr w:type="spellEnd"/>
      <w:r w:rsidR="00211A4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наданих Комітету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</w:t>
      </w:r>
      <w:r w:rsidR="00211A4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конструкції цих свердловин герметичні.</w:t>
      </w:r>
    </w:p>
    <w:p w:rsidR="00211A45" w:rsidRPr="00B61319" w:rsidRDefault="00211A45" w:rsidP="00211A45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Крім того, за результатами геолого-технічної наради з питань розгляду діяльності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щодо експлуатації свердловин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Добрівлянської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площі в частині перетину гірничого відводу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Угерського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ПСГ, що відбулася 05.11.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2018 за участю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представників філії «Управління магістральних газопроводів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Львівтрансгаз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АТ «Укртрансгаз», було встановлено, що колони в експлуатаційних свердловинах герметичні, перфораційні отвори вище 80 м відсутні, свердловини експлуатуються з дотриманням умов спецдозволу з обмеженням глибини щодо використання на ділянці перетину з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Угерським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газосховищем – 800 м і нижче, при цьому пл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астова система </w:t>
      </w:r>
      <w:proofErr w:type="spellStart"/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Угерського</w:t>
      </w:r>
      <w:proofErr w:type="spellEnd"/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ПСГ, 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результаті задовільного цементування свердловин в інтервалах глибин (640-785 м) ПСГ залишається цілісною, що підтверджується відповідними матеріалами.</w:t>
      </w:r>
    </w:p>
    <w:p w:rsidR="007E076F" w:rsidRPr="00B61319" w:rsidRDefault="00211A45" w:rsidP="007E076F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Також </w:t>
      </w:r>
      <w:r w:rsidR="00E74CF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відповідно до копій</w:t>
      </w:r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актів, наданих ТОВ «</w:t>
      </w:r>
      <w:proofErr w:type="spellStart"/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</w:t>
      </w:r>
      <w:r w:rsidR="00E74CF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компонентний склад, фізико-хімічні властивості природного газу, а також порівняльні динаміки пластових тисків і відборів газу із свердловин №№ 1-7 </w:t>
      </w:r>
      <w:proofErr w:type="spellStart"/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Добрівлянської</w:t>
      </w:r>
      <w:proofErr w:type="spellEnd"/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площі та спостережних свердловин ПУ-30 та ПУ-32 </w:t>
      </w:r>
      <w:proofErr w:type="spellStart"/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Угерського</w:t>
      </w:r>
      <w:proofErr w:type="spellEnd"/>
      <w:r w:rsidR="007E076F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ПСГ є різними.</w:t>
      </w:r>
    </w:p>
    <w:p w:rsidR="00E74CF5" w:rsidRPr="00B61319" w:rsidRDefault="00E74CF5" w:rsidP="00E74CF5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Відповідно до інформації Державної служби України з питань праці (далі –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Держпраці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), наданої листом від 13.12.2019 № 9465/1/10.3-ДП-18 (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вх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. Комітету від 16.12.2019 </w:t>
      </w:r>
      <w:r w:rsidR="00B6131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№ 7-01/15129), у період з 01 по 10 квітня 2019 року Головним управлінням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Держпраці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у Львівській області проведено планову перевірку дотримання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вимог законодавчих на нормативно-правових актів з охорони праці та промислової безпеки, а також ведення робіт, пов’язаних з геологічним вивченням надр, їх використання (далі – планова перевірка). За результатами планової перевірки складено Акт перевірки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суб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’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єкта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господарювання від 10.04.2019 № 13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/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27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/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058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/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0371. 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ході перевірки порушень герметичності свердловин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йнафтогаз</w:t>
      </w:r>
      <w:proofErr w:type="spellEnd"/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на ділянці перетину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Більче-Волицько-Угерським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Угерським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ПСГ не виявлено.</w:t>
      </w:r>
    </w:p>
    <w:p w:rsidR="00E74CF5" w:rsidRPr="00B61319" w:rsidRDefault="00E74CF5" w:rsidP="00E74CF5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Контроль за герметичністю свердловин здійснюється на підставі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проєкту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на бурінн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я свердловин, а також проведення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комплексу досліджень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які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вказані в планах пробної експлуатації свердловин,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проєкті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дослідно-промислової розробки. Комплекс досліджень, який необхідно проводити в свердловинах, зазначено в пункті 2 розділу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  <w:t>IV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та пункті 27 розділу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  <w:t>XIII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Правил розробки.</w:t>
      </w:r>
      <w:r w:rsidRPr="00B61319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 xml:space="preserve">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За результатами планової перевірки Головним управлінням 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Держпраці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у Львівській області</w:t>
      </w:r>
      <w:r w:rsidRPr="00B61319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 xml:space="preserve">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встановлено, що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br/>
        <w:t>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відповідні роботи та дослідження і вимірювання виконувало в повному обсязі.</w:t>
      </w:r>
    </w:p>
    <w:p w:rsidR="00E74CF5" w:rsidRPr="00B61319" w:rsidRDefault="00BA1B00" w:rsidP="00E74CF5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Водночас</w:t>
      </w:r>
      <w:r w:rsidR="00E74CF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АТ «Укртрансгаз» не надано Комітету інформації та документів, які б  свідчили про </w:t>
      </w:r>
      <w:proofErr w:type="spellStart"/>
      <w:r w:rsidR="00E74CF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негерметичность</w:t>
      </w:r>
      <w:proofErr w:type="spellEnd"/>
      <w:r w:rsidR="00E74CF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свердлов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ин ТОВ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та наявність </w:t>
      </w:r>
      <w:proofErr w:type="spellStart"/>
      <w:r w:rsidR="00E74CF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газогідродинамічного</w:t>
      </w:r>
      <w:proofErr w:type="spellEnd"/>
      <w:r w:rsidR="00E74CF5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зв’язку між експлуатаційними свердловинами Товариства та об’єктами ПСГ.</w:t>
      </w:r>
    </w:p>
    <w:p w:rsidR="00E74CF5" w:rsidRPr="00B61319" w:rsidRDefault="00E74CF5" w:rsidP="00D057A9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Відтак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дії АТ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«Укртрансгаз»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що полягають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схилянн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«</w:t>
      </w:r>
      <w:proofErr w:type="spellStart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за наявності документів, що підтверджують герметичність свердловин №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1-7 </w:t>
      </w:r>
      <w:proofErr w:type="spellStart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Добрівлянська</w:t>
      </w:r>
      <w:proofErr w:type="spellEnd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до виконання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ТОВ «</w:t>
      </w:r>
      <w:proofErr w:type="spellStart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»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робіт, що можуть призводити до порушення режиму роботи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його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свердловин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може призвести до неможливості здійснення ТОВ «</w:t>
      </w:r>
      <w:proofErr w:type="spellStart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 діяльності з видоб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утку та продажу природного газу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та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як наслідок, призводити до обмеження конкуренції на ринках природного газу.</w:t>
      </w:r>
    </w:p>
    <w:p w:rsidR="00961762" w:rsidRPr="00B61319" w:rsidRDefault="00961762" w:rsidP="00961762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Наявність відносин контролю мі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ж НАК «Нафтогаз України» та суб’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єктом господарювання, що з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дійснює діяльність на ринках, які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знаходяться у стані природних 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lastRenderedPageBreak/>
        <w:t>монополій (транспортування, зберігання природного газу)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надає НАК «Нафтогаз України» додаткові конкурентні переваги та можливість через відносини контролю суттєво обмежувати конкурентну спроможність інших суб’єктів господарювання, які є конкурентами НАК «Нафтогаз України» на ринках, на яких НАК «Нафтогаз України» здійснює свою діяльність, усуваючи їх з ринків шляхом обмеження доступу до послуг на ринках природних монополій.</w:t>
      </w:r>
    </w:p>
    <w:p w:rsidR="006A44EB" w:rsidRPr="00B61319" w:rsidRDefault="00BA1B00" w:rsidP="006A44EB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Отже</w:t>
      </w:r>
      <w:r w:rsidR="0096176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дії 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АТ «Укртрансгаз» </w:t>
      </w:r>
      <w:r w:rsidR="00EF212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щодо схиле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ння ТОВ «</w:t>
      </w:r>
      <w:proofErr w:type="spellStart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Стрийнафтогаз</w:t>
      </w:r>
      <w:proofErr w:type="spellEnd"/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»</w:t>
      </w:r>
      <w:r w:rsidR="00EF212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яке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у встановленому</w:t>
      </w:r>
      <w:r w:rsidR="00EF212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законодавством порядку отримало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усі необхідні дозвільні документи,  до виконання </w:t>
      </w:r>
      <w:r w:rsidR="00EF212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ним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робіт, що можуть призводити до порушення режиму роботи свердловин </w:t>
      </w:r>
      <w:r w:rsidR="00EF212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компанії</w:t>
      </w:r>
      <w:r w:rsidR="00D057A9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</w:t>
      </w:r>
      <w:r w:rsidR="0096176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можуть призводити до усунення </w:t>
      </w:r>
      <w:proofErr w:type="spellStart"/>
      <w:r w:rsidR="0096176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суб</w:t>
      </w:r>
      <w:proofErr w:type="spellEnd"/>
      <w:r w:rsidR="00961762"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’</w:t>
      </w:r>
      <w:proofErr w:type="spellStart"/>
      <w:r w:rsidR="00EF212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єкта</w:t>
      </w:r>
      <w:proofErr w:type="spellEnd"/>
      <w:r w:rsidR="00EF212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господарювання, який виступає конкурентом</w:t>
      </w:r>
      <w:r w:rsidR="00961762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НАК «Нафтогаз України», та обмеження конкуренції на ринках природного газу.</w:t>
      </w:r>
    </w:p>
    <w:p w:rsidR="006A44EB" w:rsidRPr="00B61319" w:rsidRDefault="00961762" w:rsidP="006A44EB">
      <w:pPr>
        <w:widowControl w:val="0"/>
        <w:numPr>
          <w:ilvl w:val="3"/>
          <w:numId w:val="1"/>
        </w:numPr>
        <w:tabs>
          <w:tab w:val="left" w:pos="567"/>
        </w:tabs>
        <w:suppressAutoHyphens/>
        <w:autoSpaceDN w:val="0"/>
        <w:spacing w:before="80" w:after="8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Оскільки видобування природного газу </w:t>
      </w:r>
      <w:r w:rsidR="00B02E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можливе за умови приєднання об’єктів газовидобувної компанії  </w:t>
      </w:r>
      <w:r w:rsidR="006A44E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до магістрального трубопроводу оператора газотранспортної системи </w:t>
      </w:r>
      <w:r w:rsidR="00B02E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та наявності відповідного до</w:t>
      </w:r>
      <w:r w:rsidR="006A44E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говору</w:t>
      </w:r>
      <w:r w:rsidR="00B02E26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на транспортування</w:t>
      </w:r>
      <w:r w:rsidR="006A44E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природного газу, створення оператором газотранспортної системи для га</w:t>
      </w:r>
      <w:r w:rsidR="00BA1B00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зовидобувних компаній перешкод у</w:t>
      </w:r>
      <w:r w:rsidR="006A44E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доступі до магістральних трубопроводів може призвести до створення бар</w:t>
      </w:r>
      <w:r w:rsidR="006A44EB" w:rsidRPr="00B6131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’</w:t>
      </w:r>
      <w:proofErr w:type="spellStart"/>
      <w:r w:rsidR="006A44E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єрів</w:t>
      </w:r>
      <w:proofErr w:type="spellEnd"/>
      <w:r w:rsidR="006A44EB"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для входу газовидобувних підприємств на ринки природного газу.</w:t>
      </w:r>
    </w:p>
    <w:p w:rsidR="00961762" w:rsidRPr="00B61319" w:rsidRDefault="00961762" w:rsidP="006A44EB">
      <w:pPr>
        <w:widowControl w:val="0"/>
        <w:tabs>
          <w:tab w:val="left" w:pos="567"/>
        </w:tabs>
        <w:suppressAutoHyphens/>
        <w:autoSpaceDN w:val="0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FD5967" w:rsidRPr="00B61319" w:rsidRDefault="00FD5967" w:rsidP="00FD596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</w:p>
    <w:p w:rsidR="00FD5967" w:rsidRPr="00B61319" w:rsidRDefault="00FD5967" w:rsidP="001E3B19">
      <w:pPr>
        <w:pStyle w:val="af2"/>
        <w:ind w:firstLine="357"/>
        <w:jc w:val="both"/>
        <w:rPr>
          <w:kern w:val="3"/>
          <w:lang w:eastAsia="zh-CN"/>
        </w:rPr>
      </w:pPr>
      <w:r w:rsidRPr="00B61319">
        <w:rPr>
          <w:kern w:val="3"/>
          <w:lang w:eastAsia="zh-CN"/>
        </w:rPr>
        <w:t xml:space="preserve">Враховуючи викладене, відповідно до частини </w:t>
      </w:r>
      <w:r w:rsidR="001C1F0A" w:rsidRPr="00B61319">
        <w:rPr>
          <w:kern w:val="3"/>
          <w:lang w:eastAsia="zh-CN"/>
        </w:rPr>
        <w:t>третьої</w:t>
      </w:r>
      <w:r w:rsidRPr="00B61319">
        <w:rPr>
          <w:kern w:val="3"/>
          <w:lang w:eastAsia="zh-CN"/>
        </w:rPr>
        <w:t xml:space="preserve"> статті </w:t>
      </w:r>
      <w:r w:rsidR="001C1F0A" w:rsidRPr="00B61319">
        <w:rPr>
          <w:kern w:val="3"/>
          <w:lang w:eastAsia="zh-CN"/>
        </w:rPr>
        <w:t xml:space="preserve">7 </w:t>
      </w:r>
      <w:r w:rsidRPr="00B61319">
        <w:rPr>
          <w:kern w:val="3"/>
          <w:lang w:eastAsia="zh-CN"/>
        </w:rPr>
        <w:t xml:space="preserve">Закону України </w:t>
      </w:r>
      <w:r w:rsidR="00B61319" w:rsidRPr="00B61319">
        <w:rPr>
          <w:kern w:val="3"/>
          <w:lang w:eastAsia="zh-CN"/>
        </w:rPr>
        <w:br/>
      </w:r>
      <w:r w:rsidRPr="00B61319">
        <w:rPr>
          <w:kern w:val="3"/>
          <w:lang w:eastAsia="zh-CN"/>
        </w:rPr>
        <w:t xml:space="preserve">«Про </w:t>
      </w:r>
      <w:r w:rsidR="001C1F0A" w:rsidRPr="00B61319">
        <w:rPr>
          <w:kern w:val="3"/>
          <w:lang w:eastAsia="zh-CN"/>
        </w:rPr>
        <w:t>Антимонопольний комітет України</w:t>
      </w:r>
      <w:r w:rsidRPr="00B61319">
        <w:rPr>
          <w:kern w:val="3"/>
          <w:lang w:eastAsia="zh-CN"/>
        </w:rPr>
        <w:t xml:space="preserve">», з метою </w:t>
      </w:r>
      <w:r w:rsidR="001C1F0A" w:rsidRPr="00B61319">
        <w:rPr>
          <w:kern w:val="3"/>
          <w:lang w:eastAsia="zh-CN"/>
        </w:rPr>
        <w:t xml:space="preserve">припинення дій, які можуть мати </w:t>
      </w:r>
      <w:r w:rsidR="001C1F0A" w:rsidRPr="001E3B19">
        <w:rPr>
          <w:lang w:eastAsia="uk-UA"/>
        </w:rPr>
        <w:t>негативний</w:t>
      </w:r>
      <w:r w:rsidR="001C1F0A" w:rsidRPr="00B61319">
        <w:rPr>
          <w:kern w:val="3"/>
          <w:lang w:eastAsia="zh-CN"/>
        </w:rPr>
        <w:t xml:space="preserve"> вплив на конкуренцію на </w:t>
      </w:r>
      <w:r w:rsidR="00F65FF1" w:rsidRPr="00B61319">
        <w:rPr>
          <w:kern w:val="3"/>
          <w:lang w:eastAsia="zh-CN"/>
        </w:rPr>
        <w:t>ринках природного газу</w:t>
      </w:r>
      <w:r w:rsidR="003048DF" w:rsidRPr="00B61319">
        <w:rPr>
          <w:kern w:val="3"/>
          <w:lang w:eastAsia="zh-CN"/>
        </w:rPr>
        <w:t xml:space="preserve">, Антимонопольний комітет </w:t>
      </w:r>
      <w:r w:rsidR="003048DF" w:rsidRPr="001E3B19">
        <w:rPr>
          <w:lang w:eastAsia="uk-UA"/>
        </w:rPr>
        <w:t>України</w:t>
      </w:r>
      <w:r w:rsidR="003048DF" w:rsidRPr="00B61319">
        <w:rPr>
          <w:kern w:val="3"/>
          <w:lang w:eastAsia="zh-CN"/>
        </w:rPr>
        <w:t xml:space="preserve"> надає</w:t>
      </w:r>
      <w:r w:rsidR="001C1F0A" w:rsidRPr="00B61319">
        <w:rPr>
          <w:kern w:val="3"/>
          <w:lang w:eastAsia="zh-CN"/>
        </w:rPr>
        <w:t xml:space="preserve"> </w:t>
      </w:r>
      <w:r w:rsidRPr="00B61319">
        <w:rPr>
          <w:kern w:val="3"/>
          <w:lang w:eastAsia="zh-CN"/>
        </w:rPr>
        <w:t>такі обов’язкові для розгляду</w:t>
      </w:r>
    </w:p>
    <w:p w:rsidR="00FD5967" w:rsidRPr="00B61319" w:rsidRDefault="00FD5967" w:rsidP="00FD5967">
      <w:pPr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FD5967" w:rsidRPr="00B61319" w:rsidRDefault="00FD5967" w:rsidP="00FD5967">
      <w:pPr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>РЕКОМЕНДАЦІЇ:</w:t>
      </w:r>
    </w:p>
    <w:p w:rsidR="00FD5967" w:rsidRPr="00B61319" w:rsidRDefault="00FD5967" w:rsidP="00FD5967">
      <w:pPr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1E3B19" w:rsidRPr="001E3B19" w:rsidRDefault="00F67F93" w:rsidP="001E3B19">
      <w:pPr>
        <w:pStyle w:val="af2"/>
        <w:numPr>
          <w:ilvl w:val="6"/>
          <w:numId w:val="1"/>
        </w:numPr>
        <w:ind w:firstLine="357"/>
        <w:jc w:val="both"/>
        <w:rPr>
          <w:lang w:eastAsia="uk-UA"/>
        </w:rPr>
      </w:pPr>
      <w:r w:rsidRPr="001E3B19">
        <w:rPr>
          <w:lang w:eastAsia="uk-UA"/>
        </w:rPr>
        <w:t>Акціонерному товариству «Укртрансгаз» утриматися від ді</w:t>
      </w:r>
      <w:r w:rsidR="00E32C55" w:rsidRPr="001E3B19">
        <w:rPr>
          <w:lang w:eastAsia="uk-UA"/>
        </w:rPr>
        <w:t>й, які можуть призводити до порушення роботи свердловин та/або скорочення обсягу видобутку природного газу товариства з обмеженою відповідальністю «</w:t>
      </w:r>
      <w:proofErr w:type="spellStart"/>
      <w:r w:rsidR="00E32C55" w:rsidRPr="001E3B19">
        <w:rPr>
          <w:lang w:eastAsia="uk-UA"/>
        </w:rPr>
        <w:t>Стрийнафтогаз</w:t>
      </w:r>
      <w:proofErr w:type="spellEnd"/>
      <w:r w:rsidR="00E32C55" w:rsidRPr="001E3B19">
        <w:rPr>
          <w:lang w:eastAsia="uk-UA"/>
        </w:rPr>
        <w:t>» та інших газовидобувних компаній, що може мати негативні наслідки для конкуренції на ринках природного газу.</w:t>
      </w:r>
    </w:p>
    <w:p w:rsidR="00F67F93" w:rsidRPr="001E3B19" w:rsidRDefault="00F67F93" w:rsidP="001E3B19">
      <w:pPr>
        <w:pStyle w:val="af2"/>
        <w:numPr>
          <w:ilvl w:val="6"/>
          <w:numId w:val="1"/>
        </w:numPr>
        <w:ind w:firstLine="357"/>
        <w:jc w:val="both"/>
        <w:rPr>
          <w:lang w:eastAsia="uk-UA"/>
        </w:rPr>
      </w:pPr>
      <w:r w:rsidRPr="001E3B19">
        <w:rPr>
          <w:lang w:eastAsia="uk-UA"/>
        </w:rPr>
        <w:t>Товариству з обмеженою відповідальністю «Оператор газотранспортної системи України» вжити заходів щодо недопущення створення бар’єрів для входу</w:t>
      </w:r>
      <w:r w:rsidR="003048DF" w:rsidRPr="001E3B19">
        <w:rPr>
          <w:lang w:eastAsia="uk-UA"/>
        </w:rPr>
        <w:t xml:space="preserve"> </w:t>
      </w:r>
      <w:r w:rsidR="00E32C55" w:rsidRPr="001E3B19">
        <w:rPr>
          <w:lang w:eastAsia="uk-UA"/>
        </w:rPr>
        <w:t>/</w:t>
      </w:r>
      <w:r w:rsidR="003048DF" w:rsidRPr="001E3B19">
        <w:rPr>
          <w:lang w:eastAsia="uk-UA"/>
        </w:rPr>
        <w:t xml:space="preserve"> </w:t>
      </w:r>
      <w:r w:rsidR="00E32C55" w:rsidRPr="001E3B19">
        <w:rPr>
          <w:lang w:eastAsia="uk-UA"/>
        </w:rPr>
        <w:t>діяльності</w:t>
      </w:r>
      <w:r w:rsidRPr="001E3B19">
        <w:rPr>
          <w:lang w:eastAsia="uk-UA"/>
        </w:rPr>
        <w:t xml:space="preserve"> газовидобувних підприємств на ринки природного газу.</w:t>
      </w:r>
    </w:p>
    <w:p w:rsidR="00FD5967" w:rsidRPr="00B61319" w:rsidRDefault="00FD5967" w:rsidP="003048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1C1F0A" w:rsidRPr="00B61319" w:rsidRDefault="001C1F0A" w:rsidP="00FD5967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FD5967" w:rsidRPr="00B61319" w:rsidRDefault="00FD5967" w:rsidP="00FD596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 результати розгляду цих рекомендацій повідомити Антимонопольний комітет України у десятиденний строк з дня їх отримання.</w:t>
      </w:r>
    </w:p>
    <w:p w:rsidR="00FD5967" w:rsidRPr="00B61319" w:rsidRDefault="00FD5967" w:rsidP="00FD596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FD5967" w:rsidRPr="00B61319" w:rsidRDefault="00FD5967" w:rsidP="00FD5967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</w:p>
    <w:p w:rsidR="001C1F0A" w:rsidRPr="00B61319" w:rsidRDefault="001C1F0A" w:rsidP="00FD5967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</w:p>
    <w:p w:rsidR="00FD5967" w:rsidRPr="00B61319" w:rsidRDefault="00FD5967" w:rsidP="00FD596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Голова Комітету</w:t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B61319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  <w:t>Ю. ТЕРЕНТЬЄВ</w:t>
      </w:r>
    </w:p>
    <w:p w:rsidR="00FD5967" w:rsidRPr="00B61319" w:rsidRDefault="00FD5967" w:rsidP="00FD596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651038" w:rsidRPr="00B61319" w:rsidRDefault="00651038"/>
    <w:sectPr w:rsidR="00651038" w:rsidRPr="00B61319" w:rsidSect="004E7E59">
      <w:headerReference w:type="default" r:id="rId10"/>
      <w:pgSz w:w="11906" w:h="16838"/>
      <w:pgMar w:top="1134" w:right="567" w:bottom="1134" w:left="1701" w:header="709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3E" w:rsidRDefault="00A04C3E">
      <w:pPr>
        <w:spacing w:after="0" w:line="240" w:lineRule="auto"/>
      </w:pPr>
      <w:r>
        <w:separator/>
      </w:r>
    </w:p>
  </w:endnote>
  <w:endnote w:type="continuationSeparator" w:id="0">
    <w:p w:rsidR="00A04C3E" w:rsidRDefault="00A0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3E" w:rsidRDefault="00A04C3E">
      <w:pPr>
        <w:spacing w:after="0" w:line="240" w:lineRule="auto"/>
      </w:pPr>
      <w:r>
        <w:separator/>
      </w:r>
    </w:p>
  </w:footnote>
  <w:footnote w:type="continuationSeparator" w:id="0">
    <w:p w:rsidR="00A04C3E" w:rsidRDefault="00A04C3E">
      <w:pPr>
        <w:spacing w:after="0" w:line="240" w:lineRule="auto"/>
      </w:pPr>
      <w:r>
        <w:continuationSeparator/>
      </w:r>
    </w:p>
  </w:footnote>
  <w:footnote w:id="1">
    <w:p w:rsidR="00651038" w:rsidRPr="00C95F00" w:rsidRDefault="00651038" w:rsidP="000B3E4F">
      <w:pPr>
        <w:pStyle w:val="aa"/>
        <w:jc w:val="both"/>
        <w:rPr>
          <w:rFonts w:ascii="Times New Roman" w:hAnsi="Times New Roman" w:cs="Times New Roman"/>
          <w:lang w:val="uk-UA"/>
        </w:rPr>
      </w:pPr>
      <w:r>
        <w:rPr>
          <w:rStyle w:val="ac"/>
        </w:rPr>
        <w:footnoteRef/>
      </w:r>
      <w:r w:rsidRPr="006F6F0E">
        <w:rPr>
          <w:lang w:val="uk-UA"/>
        </w:rPr>
        <w:t xml:space="preserve"> </w:t>
      </w:r>
      <w:r w:rsidR="004E7E59">
        <w:rPr>
          <w:rFonts w:ascii="Times New Roman" w:hAnsi="Times New Roman" w:cs="Times New Roman"/>
          <w:lang w:val="uk-UA"/>
        </w:rPr>
        <w:t>Г</w:t>
      </w:r>
      <w:r w:rsidRPr="00C95F00">
        <w:rPr>
          <w:rFonts w:ascii="Times New Roman" w:hAnsi="Times New Roman" w:cs="Times New Roman"/>
          <w:lang w:val="uk-UA"/>
        </w:rPr>
        <w:t>азовидобувне підприємство - суб’єкт господарювання, що займається видобутком (виробництвом) природного газу, у тому числі виробник біогазу або інших видів газу з альтернативних джерел (пункт 5 глави 1 розділу I Кодексу газотранспортної системи, затвердженого постановою Національної комісії, що здійснює державне регулювання у сферах енергетики та комунальних послуг від 30.09.2015 № 2493,  зареєстрованою в Міністерстві юстиції України 06.11.2015 за № 1378/27823).</w:t>
      </w:r>
    </w:p>
  </w:footnote>
  <w:footnote w:id="2">
    <w:p w:rsidR="00651038" w:rsidRPr="00C95F00" w:rsidRDefault="00651038" w:rsidP="00C37DAA">
      <w:pPr>
        <w:pStyle w:val="aa"/>
        <w:jc w:val="both"/>
        <w:rPr>
          <w:lang w:val="uk-UA"/>
        </w:rPr>
      </w:pPr>
      <w:r w:rsidRPr="00C95F00">
        <w:rPr>
          <w:rStyle w:val="ac"/>
          <w:lang w:val="uk-UA"/>
        </w:rPr>
        <w:footnoteRef/>
      </w:r>
      <w:r w:rsidRPr="00C95F00">
        <w:rPr>
          <w:lang w:val="uk-UA"/>
        </w:rPr>
        <w:t xml:space="preserve"> </w:t>
      </w:r>
      <w:r w:rsidR="004E7E59">
        <w:rPr>
          <w:rFonts w:ascii="Times New Roman" w:hAnsi="Times New Roman" w:cs="Times New Roman"/>
          <w:lang w:val="uk-UA"/>
        </w:rPr>
        <w:t>С</w:t>
      </w:r>
      <w:r w:rsidRPr="00C95F00">
        <w:rPr>
          <w:rFonts w:ascii="Times New Roman" w:hAnsi="Times New Roman" w:cs="Times New Roman"/>
          <w:lang w:val="uk-UA"/>
        </w:rPr>
        <w:t>уб’єкт ринку природного газу - оператор газотранспортної системи, оператор газорозподільної системи, оператор газосховища, оператор установки LNG, замовник, оптовий продавець, оптовий покупець, постачальник, споживач (пункт 39 частини першої статті 1 Закону).</w:t>
      </w:r>
    </w:p>
  </w:footnote>
  <w:footnote w:id="3">
    <w:p w:rsidR="00651038" w:rsidRPr="00C95F00" w:rsidRDefault="00651038" w:rsidP="006F6F0E">
      <w:pPr>
        <w:pStyle w:val="aa"/>
        <w:jc w:val="both"/>
        <w:rPr>
          <w:rFonts w:ascii="Times New Roman" w:hAnsi="Times New Roman" w:cs="Times New Roman"/>
          <w:lang w:val="uk-UA"/>
        </w:rPr>
      </w:pPr>
      <w:r w:rsidRPr="00C95F00">
        <w:rPr>
          <w:rStyle w:val="ac"/>
          <w:lang w:val="uk-UA"/>
        </w:rPr>
        <w:footnoteRef/>
      </w:r>
      <w:r w:rsidRPr="00C95F00">
        <w:rPr>
          <w:lang w:val="uk-UA"/>
        </w:rPr>
        <w:t xml:space="preserve"> </w:t>
      </w:r>
      <w:r w:rsidR="004E7E59">
        <w:rPr>
          <w:color w:val="000000"/>
          <w:shd w:val="clear" w:color="auto" w:fill="FFFFFF"/>
          <w:lang w:val="uk-UA"/>
        </w:rPr>
        <w:t>С</w:t>
      </w:r>
      <w:r w:rsidRPr="00C95F00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ховище природного газу (далі - газосховище) - технологічний комплекс, створений у природній або штучній ємності з метою накопичення природного газу (включаючи ємність установки LNG, призначену для зберігання природного газу), і технологічно поєднані з цим комплексом споруди, призначені для зберігання (закачування, відбору) природного газу (пункт 40 частини першої статті 1 Закону).</w:t>
      </w:r>
    </w:p>
  </w:footnote>
  <w:footnote w:id="4">
    <w:p w:rsidR="00651038" w:rsidRPr="00C95F00" w:rsidRDefault="00651038" w:rsidP="00A27FD3">
      <w:pPr>
        <w:pStyle w:val="aa"/>
        <w:jc w:val="both"/>
        <w:rPr>
          <w:rFonts w:ascii="Times New Roman" w:hAnsi="Times New Roman" w:cs="Times New Roman"/>
          <w:lang w:val="uk-UA"/>
        </w:rPr>
      </w:pPr>
      <w:r w:rsidRPr="00C95F00">
        <w:rPr>
          <w:rStyle w:val="ac"/>
          <w:rFonts w:ascii="Times New Roman" w:hAnsi="Times New Roman" w:cs="Times New Roman"/>
          <w:lang w:val="uk-UA"/>
        </w:rPr>
        <w:footnoteRef/>
      </w:r>
      <w:r w:rsidRPr="00C95F00">
        <w:rPr>
          <w:rFonts w:ascii="Times New Roman" w:hAnsi="Times New Roman" w:cs="Times New Roman"/>
          <w:lang w:val="uk-UA"/>
        </w:rPr>
        <w:t xml:space="preserve"> </w:t>
      </w:r>
      <w:r w:rsidR="004E7E59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О</w:t>
      </w:r>
      <w:r w:rsidRPr="00C95F00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птовий продавець - суб’єкт господарювання, який реалізує природний газ оптовому покупцю або постачальнику на підставі договору купівлі-продажу (пункт 22 частини першої статті 1 Закону).</w:t>
      </w:r>
    </w:p>
  </w:footnote>
  <w:footnote w:id="5">
    <w:p w:rsidR="00651038" w:rsidRPr="00C95F00" w:rsidRDefault="00651038" w:rsidP="00A27FD3">
      <w:pPr>
        <w:pStyle w:val="aa"/>
        <w:jc w:val="both"/>
        <w:rPr>
          <w:rFonts w:ascii="Times New Roman" w:hAnsi="Times New Roman" w:cs="Times New Roman"/>
          <w:lang w:val="uk-UA"/>
        </w:rPr>
      </w:pPr>
      <w:r w:rsidRPr="00C95F00">
        <w:rPr>
          <w:rStyle w:val="ac"/>
          <w:rFonts w:ascii="Times New Roman" w:hAnsi="Times New Roman" w:cs="Times New Roman"/>
          <w:lang w:val="uk-UA"/>
        </w:rPr>
        <w:footnoteRef/>
      </w:r>
      <w:r w:rsidRPr="00C95F00">
        <w:rPr>
          <w:rFonts w:ascii="Times New Roman" w:hAnsi="Times New Roman" w:cs="Times New Roman"/>
          <w:lang w:val="uk-UA"/>
        </w:rPr>
        <w:t xml:space="preserve"> </w:t>
      </w:r>
      <w:r w:rsidR="004E7E59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П</w:t>
      </w:r>
      <w:r w:rsidRPr="00C95F00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остачання природного газу - господарська діяльність, що підлягає ліцензуванню і полягає в реалізації природного газу безпосередньо споживачам на підставі укладених з ними договорів (пункт 28 частини першої статті 1 Закону).</w:t>
      </w:r>
    </w:p>
  </w:footnote>
  <w:footnote w:id="6">
    <w:p w:rsidR="00651038" w:rsidRPr="00132010" w:rsidRDefault="00651038" w:rsidP="00132010">
      <w:pPr>
        <w:pStyle w:val="aa"/>
        <w:jc w:val="both"/>
        <w:rPr>
          <w:rFonts w:ascii="Times New Roman" w:hAnsi="Times New Roman" w:cs="Times New Roman"/>
          <w:lang w:val="uk-UA"/>
        </w:rPr>
      </w:pPr>
      <w:r w:rsidRPr="00C95F00">
        <w:rPr>
          <w:rStyle w:val="ac"/>
          <w:rFonts w:ascii="Times New Roman" w:hAnsi="Times New Roman" w:cs="Times New Roman"/>
          <w:lang w:val="uk-UA"/>
        </w:rPr>
        <w:footnoteRef/>
      </w:r>
      <w:r w:rsidRPr="00C95F00">
        <w:rPr>
          <w:rFonts w:ascii="Times New Roman" w:hAnsi="Times New Roman" w:cs="Times New Roman"/>
          <w:lang w:val="uk-UA"/>
        </w:rPr>
        <w:t xml:space="preserve"> </w:t>
      </w:r>
      <w:r w:rsidR="004E7E59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К</w:t>
      </w:r>
      <w:r w:rsidRPr="00C95F00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ористування нафтогазоносними надрами - геологічне вивчення і розробка нафтогазоносних надр з метою пошуку та розвідки родовищ нафти й газу, видобутку нафти й газу або їх зберігання, повернення (захоронення) супутніх і стічних вод, інших відходів, що видобуваються в процесі розвідки і розробки родовищ нафти і газу (стаття 1 Закону України «Про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нафту і газ»).</w:t>
      </w:r>
    </w:p>
  </w:footnote>
  <w:footnote w:id="7">
    <w:p w:rsidR="00651038" w:rsidRPr="008846B8" w:rsidRDefault="00651038" w:rsidP="008846B8">
      <w:pPr>
        <w:pStyle w:val="aa"/>
        <w:jc w:val="both"/>
        <w:rPr>
          <w:rFonts w:ascii="Times New Roman" w:hAnsi="Times New Roman" w:cs="Times New Roman"/>
          <w:lang w:val="uk-UA"/>
        </w:rPr>
      </w:pPr>
      <w:r w:rsidRPr="008846B8">
        <w:rPr>
          <w:rStyle w:val="ac"/>
          <w:rFonts w:ascii="Times New Roman" w:hAnsi="Times New Roman" w:cs="Times New Roman"/>
        </w:rPr>
        <w:footnoteRef/>
      </w:r>
      <w:r w:rsidR="00575282">
        <w:rPr>
          <w:rFonts w:ascii="Times New Roman" w:hAnsi="Times New Roman" w:cs="Times New Roman"/>
          <w:lang w:val="uk-UA"/>
        </w:rPr>
        <w:t xml:space="preserve"> </w:t>
      </w:r>
      <w:r w:rsidR="00575282">
        <w:rPr>
          <w:rFonts w:ascii="Times New Roman" w:hAnsi="Times New Roman" w:cs="Times New Roman"/>
          <w:lang w:val="uk-UA"/>
        </w:rPr>
        <w:t>К</w:t>
      </w:r>
      <w:r w:rsidRPr="008846B8">
        <w:rPr>
          <w:rFonts w:ascii="Times New Roman" w:hAnsi="Times New Roman" w:cs="Times New Roman"/>
          <w:lang w:val="uk-UA"/>
        </w:rPr>
        <w:t xml:space="preserve">ористувач нафтогазоносними надрами - юридична або фізична особа, що має спеціальний дозвіл на користування нафтогазоносними надрами з метою пошуку та розвідки родовищ нафти і газу, видобутку нафти і газу або їх зберігання, повернення (захоронення) супутніх і стічних вод, інших відходів, що видобуваються в процесі розвідки </w:t>
      </w:r>
      <w:r>
        <w:rPr>
          <w:rFonts w:ascii="Times New Roman" w:hAnsi="Times New Roman" w:cs="Times New Roman"/>
          <w:lang w:val="uk-UA"/>
        </w:rPr>
        <w:t>і розробки родовищ нафти і газу (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стаття 1 Закону України «Про нафту і газ»).</w:t>
      </w:r>
    </w:p>
  </w:footnote>
  <w:footnote w:id="8">
    <w:p w:rsidR="00651038" w:rsidRPr="006A4E85" w:rsidRDefault="00651038" w:rsidP="006A4E85">
      <w:pPr>
        <w:pStyle w:val="aa"/>
        <w:jc w:val="both"/>
        <w:rPr>
          <w:lang w:val="uk-UA"/>
        </w:rPr>
      </w:pPr>
      <w:r>
        <w:rPr>
          <w:rStyle w:val="ac"/>
        </w:rPr>
        <w:footnoteRef/>
      </w:r>
      <w:r w:rsidRPr="006A4E85">
        <w:rPr>
          <w:lang w:val="uk-UA"/>
        </w:rPr>
        <w:t xml:space="preserve"> </w:t>
      </w:r>
      <w:r w:rsidR="00575282">
        <w:rPr>
          <w:rFonts w:ascii="Times New Roman" w:hAnsi="Times New Roman" w:cs="Times New Roman"/>
          <w:lang w:val="uk-UA"/>
        </w:rPr>
        <w:t>С</w:t>
      </w:r>
      <w:r w:rsidRPr="006A4E85">
        <w:rPr>
          <w:rFonts w:ascii="Times New Roman" w:hAnsi="Times New Roman" w:cs="Times New Roman"/>
          <w:lang w:val="uk-UA"/>
        </w:rPr>
        <w:t>вердловина - циліндрична гірнича виробка, створена бурами або іншими буровими інструментами, включаючи обладнання, необхідне для її експлуатації, діаметр якої набагато менший за її довжину (розділ ІІ Правил)</w:t>
      </w:r>
      <w:r>
        <w:rPr>
          <w:rFonts w:ascii="Times New Roman" w:hAnsi="Times New Roman" w:cs="Times New Roman"/>
          <w:lang w:val="uk-UA"/>
        </w:rPr>
        <w:t>.</w:t>
      </w:r>
    </w:p>
  </w:footnote>
  <w:footnote w:id="9">
    <w:p w:rsidR="00651038" w:rsidRPr="0078544E" w:rsidRDefault="00651038" w:rsidP="0078544E">
      <w:pPr>
        <w:pStyle w:val="aa"/>
        <w:jc w:val="both"/>
        <w:rPr>
          <w:rFonts w:ascii="Times New Roman" w:hAnsi="Times New Roman" w:cs="Times New Roman"/>
          <w:lang w:val="uk-UA"/>
        </w:rPr>
      </w:pPr>
      <w:r w:rsidRPr="0078544E">
        <w:rPr>
          <w:rStyle w:val="ac"/>
          <w:rFonts w:ascii="Times New Roman" w:hAnsi="Times New Roman" w:cs="Times New Roman"/>
        </w:rPr>
        <w:footnoteRef/>
      </w:r>
      <w:r w:rsidRPr="0078544E">
        <w:rPr>
          <w:rFonts w:ascii="Times New Roman" w:hAnsi="Times New Roman" w:cs="Times New Roman"/>
          <w:lang w:val="uk-UA"/>
        </w:rPr>
        <w:t xml:space="preserve"> </w:t>
      </w:r>
      <w:r w:rsidR="00575282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О</w:t>
      </w:r>
      <w:r w:rsidRPr="0078544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ператор газотранспортної системи - суб’єкт господарювання, який на підставі ліцензії здійснює діяльність із транспортування природного газу газотранспортною системою на користь третіх осіб (замовників)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(пункт 19 частини першої статті 1 Закону).</w:t>
      </w:r>
    </w:p>
  </w:footnote>
  <w:footnote w:id="10">
    <w:p w:rsidR="00651038" w:rsidRPr="00156CF9" w:rsidRDefault="00651038" w:rsidP="00156CF9">
      <w:pPr>
        <w:pStyle w:val="aa"/>
        <w:jc w:val="both"/>
        <w:rPr>
          <w:rFonts w:ascii="Times New Roman" w:hAnsi="Times New Roman" w:cs="Times New Roman"/>
          <w:lang w:val="uk-UA"/>
        </w:rPr>
      </w:pPr>
      <w:r>
        <w:rPr>
          <w:rStyle w:val="ac"/>
        </w:rPr>
        <w:footnoteRef/>
      </w:r>
      <w:r w:rsidRPr="00156CF9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Рішенням публічного акціонерного товариства «Національна акціонерна компанія «НАФТОГАЗ УКРАЇНИ», яке є одноосібним акціонером публічного акціонерного товариства «Укртрансгаз», від 21.05.2018 № 186 змінено тип товариства «Укртрансгаз» з публічного акціонерного товариства на приватне акціонерне товариство (АТ «Укртрансгаз»).</w:t>
      </w:r>
    </w:p>
  </w:footnote>
  <w:footnote w:id="11">
    <w:p w:rsidR="00651038" w:rsidRPr="00651038" w:rsidRDefault="00651038">
      <w:pPr>
        <w:pStyle w:val="aa"/>
        <w:rPr>
          <w:rFonts w:ascii="Times New Roman" w:hAnsi="Times New Roman" w:cs="Times New Roman"/>
          <w:lang w:val="uk-UA"/>
        </w:rPr>
      </w:pPr>
      <w:r>
        <w:rPr>
          <w:rStyle w:val="ac"/>
        </w:rPr>
        <w:footnoteRef/>
      </w:r>
      <w:r>
        <w:rPr>
          <w:lang w:val="uk-UA"/>
        </w:rPr>
        <w:t xml:space="preserve"> </w:t>
      </w:r>
      <w:r w:rsidRPr="00651038">
        <w:rPr>
          <w:rFonts w:ascii="Times New Roman" w:hAnsi="Times New Roman" w:cs="Times New Roman"/>
          <w:lang w:val="uk-UA"/>
        </w:rPr>
        <w:t xml:space="preserve">Доступно за гіперпосиланням: </w:t>
      </w:r>
      <w:hyperlink r:id="rId1" w:history="1">
        <w:r w:rsidRPr="00651038">
          <w:rPr>
            <w:rStyle w:val="ad"/>
            <w:rFonts w:ascii="Times New Roman" w:hAnsi="Times New Roman" w:cs="Times New Roman"/>
          </w:rPr>
          <w:t>http</w:t>
        </w:r>
        <w:r w:rsidRPr="00651038">
          <w:rPr>
            <w:rStyle w:val="ad"/>
            <w:rFonts w:ascii="Times New Roman" w:hAnsi="Times New Roman" w:cs="Times New Roman"/>
            <w:lang w:val="uk-UA"/>
          </w:rPr>
          <w:t>://</w:t>
        </w:r>
        <w:r w:rsidRPr="00651038">
          <w:rPr>
            <w:rStyle w:val="ad"/>
            <w:rFonts w:ascii="Times New Roman" w:hAnsi="Times New Roman" w:cs="Times New Roman"/>
          </w:rPr>
          <w:t>www</w:t>
        </w:r>
        <w:r w:rsidRPr="00651038">
          <w:rPr>
            <w:rStyle w:val="ad"/>
            <w:rFonts w:ascii="Times New Roman" w:hAnsi="Times New Roman" w:cs="Times New Roman"/>
            <w:lang w:val="uk-UA"/>
          </w:rPr>
          <w:t>.</w:t>
        </w:r>
        <w:r w:rsidRPr="00651038">
          <w:rPr>
            <w:rStyle w:val="ad"/>
            <w:rFonts w:ascii="Times New Roman" w:hAnsi="Times New Roman" w:cs="Times New Roman"/>
          </w:rPr>
          <w:t>naftogaz</w:t>
        </w:r>
        <w:r w:rsidRPr="00651038">
          <w:rPr>
            <w:rStyle w:val="ad"/>
            <w:rFonts w:ascii="Times New Roman" w:hAnsi="Times New Roman" w:cs="Times New Roman"/>
            <w:lang w:val="uk-UA"/>
          </w:rPr>
          <w:t>.</w:t>
        </w:r>
        <w:r w:rsidRPr="00651038">
          <w:rPr>
            <w:rStyle w:val="ad"/>
            <w:rFonts w:ascii="Times New Roman" w:hAnsi="Times New Roman" w:cs="Times New Roman"/>
          </w:rPr>
          <w:t>com</w:t>
        </w:r>
        <w:r w:rsidRPr="00651038">
          <w:rPr>
            <w:rStyle w:val="ad"/>
            <w:rFonts w:ascii="Times New Roman" w:hAnsi="Times New Roman" w:cs="Times New Roman"/>
            <w:lang w:val="uk-UA"/>
          </w:rPr>
          <w:t>/</w:t>
        </w:r>
        <w:r w:rsidRPr="00651038">
          <w:rPr>
            <w:rStyle w:val="ad"/>
            <w:rFonts w:ascii="Times New Roman" w:hAnsi="Times New Roman" w:cs="Times New Roman"/>
          </w:rPr>
          <w:t>www</w:t>
        </w:r>
        <w:r w:rsidRPr="00651038">
          <w:rPr>
            <w:rStyle w:val="ad"/>
            <w:rFonts w:ascii="Times New Roman" w:hAnsi="Times New Roman" w:cs="Times New Roman"/>
            <w:lang w:val="uk-UA"/>
          </w:rPr>
          <w:t>/3/</w:t>
        </w:r>
        <w:r w:rsidRPr="00651038">
          <w:rPr>
            <w:rStyle w:val="ad"/>
            <w:rFonts w:ascii="Times New Roman" w:hAnsi="Times New Roman" w:cs="Times New Roman"/>
          </w:rPr>
          <w:t>nakweb</w:t>
        </w:r>
        <w:r w:rsidRPr="00651038">
          <w:rPr>
            <w:rStyle w:val="ad"/>
            <w:rFonts w:ascii="Times New Roman" w:hAnsi="Times New Roman" w:cs="Times New Roman"/>
            <w:lang w:val="uk-UA"/>
          </w:rPr>
          <w:t>.</w:t>
        </w:r>
        <w:r w:rsidRPr="00651038">
          <w:rPr>
            <w:rStyle w:val="ad"/>
            <w:rFonts w:ascii="Times New Roman" w:hAnsi="Times New Roman" w:cs="Times New Roman"/>
          </w:rPr>
          <w:t>nsf</w:t>
        </w:r>
        <w:r w:rsidRPr="00651038">
          <w:rPr>
            <w:rStyle w:val="ad"/>
            <w:rFonts w:ascii="Times New Roman" w:hAnsi="Times New Roman" w:cs="Times New Roman"/>
            <w:lang w:val="uk-UA"/>
          </w:rPr>
          <w:t>/0/3</w:t>
        </w:r>
        <w:r w:rsidRPr="00651038">
          <w:rPr>
            <w:rStyle w:val="ad"/>
            <w:rFonts w:ascii="Times New Roman" w:hAnsi="Times New Roman" w:cs="Times New Roman"/>
          </w:rPr>
          <w:t>A</w:t>
        </w:r>
        <w:r w:rsidRPr="00651038">
          <w:rPr>
            <w:rStyle w:val="ad"/>
            <w:rFonts w:ascii="Times New Roman" w:hAnsi="Times New Roman" w:cs="Times New Roman"/>
            <w:lang w:val="uk-UA"/>
          </w:rPr>
          <w:t>25</w:t>
        </w:r>
        <w:r w:rsidRPr="00651038">
          <w:rPr>
            <w:rStyle w:val="ad"/>
            <w:rFonts w:ascii="Times New Roman" w:hAnsi="Times New Roman" w:cs="Times New Roman"/>
          </w:rPr>
          <w:t>D</w:t>
        </w:r>
        <w:r w:rsidRPr="00651038">
          <w:rPr>
            <w:rStyle w:val="ad"/>
            <w:rFonts w:ascii="Times New Roman" w:hAnsi="Times New Roman" w:cs="Times New Roman"/>
            <w:lang w:val="uk-UA"/>
          </w:rPr>
          <w:t>65</w:t>
        </w:r>
        <w:r w:rsidRPr="00651038">
          <w:rPr>
            <w:rStyle w:val="ad"/>
            <w:rFonts w:ascii="Times New Roman" w:hAnsi="Times New Roman" w:cs="Times New Roman"/>
          </w:rPr>
          <w:t>C</w:t>
        </w:r>
        <w:r w:rsidRPr="00651038">
          <w:rPr>
            <w:rStyle w:val="ad"/>
            <w:rFonts w:ascii="Times New Roman" w:hAnsi="Times New Roman" w:cs="Times New Roman"/>
            <w:lang w:val="uk-UA"/>
          </w:rPr>
          <w:t>2606</w:t>
        </w:r>
        <w:r w:rsidRPr="00651038">
          <w:rPr>
            <w:rStyle w:val="ad"/>
            <w:rFonts w:ascii="Times New Roman" w:hAnsi="Times New Roman" w:cs="Times New Roman"/>
          </w:rPr>
          <w:t>A</w:t>
        </w:r>
        <w:r w:rsidRPr="00651038">
          <w:rPr>
            <w:rStyle w:val="ad"/>
            <w:rFonts w:ascii="Times New Roman" w:hAnsi="Times New Roman" w:cs="Times New Roman"/>
            <w:lang w:val="uk-UA"/>
          </w:rPr>
          <w:t>6</w:t>
        </w:r>
        <w:r w:rsidRPr="00651038">
          <w:rPr>
            <w:rStyle w:val="ad"/>
            <w:rFonts w:ascii="Times New Roman" w:hAnsi="Times New Roman" w:cs="Times New Roman"/>
          </w:rPr>
          <w:t>C</w:t>
        </w:r>
        <w:r w:rsidRPr="00651038">
          <w:rPr>
            <w:rStyle w:val="ad"/>
            <w:rFonts w:ascii="Times New Roman" w:hAnsi="Times New Roman" w:cs="Times New Roman"/>
            <w:lang w:val="uk-UA"/>
          </w:rPr>
          <w:t>9</w:t>
        </w:r>
        <w:r w:rsidRPr="00651038">
          <w:rPr>
            <w:rStyle w:val="ad"/>
            <w:rFonts w:ascii="Times New Roman" w:hAnsi="Times New Roman" w:cs="Times New Roman"/>
          </w:rPr>
          <w:t>C</w:t>
        </w:r>
        <w:r w:rsidRPr="00651038">
          <w:rPr>
            <w:rStyle w:val="ad"/>
            <w:rFonts w:ascii="Times New Roman" w:hAnsi="Times New Roman" w:cs="Times New Roman"/>
            <w:lang w:val="uk-UA"/>
          </w:rPr>
          <w:t>22570</w:t>
        </w:r>
        <w:r w:rsidRPr="00651038">
          <w:rPr>
            <w:rStyle w:val="ad"/>
            <w:rFonts w:ascii="Times New Roman" w:hAnsi="Times New Roman" w:cs="Times New Roman"/>
          </w:rPr>
          <w:t>D</w:t>
        </w:r>
        <w:r w:rsidRPr="00651038">
          <w:rPr>
            <w:rStyle w:val="ad"/>
            <w:rFonts w:ascii="Times New Roman" w:hAnsi="Times New Roman" w:cs="Times New Roman"/>
            <w:lang w:val="uk-UA"/>
          </w:rPr>
          <w:t>800318869?</w:t>
        </w:r>
        <w:proofErr w:type="spellStart"/>
        <w:r w:rsidRPr="00651038">
          <w:rPr>
            <w:rStyle w:val="ad"/>
            <w:rFonts w:ascii="Times New Roman" w:hAnsi="Times New Roman" w:cs="Times New Roman"/>
          </w:rPr>
          <w:t>OpenDocument</w:t>
        </w:r>
        <w:proofErr w:type="spellEnd"/>
      </w:hyperlink>
    </w:p>
    <w:p w:rsidR="00651038" w:rsidRPr="002C21C9" w:rsidRDefault="00651038">
      <w:pPr>
        <w:pStyle w:val="aa"/>
        <w:rPr>
          <w:lang w:val="uk-UA"/>
        </w:rPr>
      </w:pPr>
    </w:p>
  </w:footnote>
  <w:footnote w:id="12">
    <w:p w:rsidR="00040128" w:rsidRDefault="00040128" w:rsidP="00040128">
      <w:pPr>
        <w:pStyle w:val="aa"/>
        <w:rPr>
          <w:lang w:val="uk-UA"/>
        </w:rPr>
      </w:pPr>
      <w:r>
        <w:rPr>
          <w:rStyle w:val="ac"/>
        </w:rPr>
        <w:footnoteRef/>
      </w:r>
      <w:r w:rsidRPr="00040128">
        <w:rPr>
          <w:rFonts w:ascii="Times New Roman" w:hAnsi="Times New Roman" w:cs="Times New Roman"/>
          <w:lang w:val="uk-UA"/>
        </w:rPr>
        <w:t xml:space="preserve"> </w:t>
      </w:r>
      <w:r w:rsidRPr="00040128">
        <w:rPr>
          <w:rFonts w:ascii="Times New Roman" w:hAnsi="Times New Roman" w:cs="Times New Roman"/>
          <w:lang w:val="uk-UA"/>
        </w:rPr>
        <w:t xml:space="preserve">Доступно за гіперпосиланням: </w:t>
      </w:r>
      <w:hyperlink r:id="rId2" w:history="1">
        <w:r w:rsidRPr="00040128">
          <w:rPr>
            <w:rStyle w:val="ad"/>
            <w:rFonts w:ascii="Times New Roman" w:hAnsi="Times New Roman" w:cs="Times New Roman"/>
          </w:rPr>
          <w:t>http</w:t>
        </w:r>
        <w:r w:rsidRPr="00040128">
          <w:rPr>
            <w:rStyle w:val="ad"/>
            <w:rFonts w:ascii="Times New Roman" w:hAnsi="Times New Roman" w:cs="Times New Roman"/>
            <w:lang w:val="uk-UA"/>
          </w:rPr>
          <w:t>://</w:t>
        </w:r>
        <w:r w:rsidRPr="00040128">
          <w:rPr>
            <w:rStyle w:val="ad"/>
            <w:rFonts w:ascii="Times New Roman" w:hAnsi="Times New Roman" w:cs="Times New Roman"/>
          </w:rPr>
          <w:t>www</w:t>
        </w:r>
        <w:r w:rsidRPr="00040128">
          <w:rPr>
            <w:rStyle w:val="ad"/>
            <w:rFonts w:ascii="Times New Roman" w:hAnsi="Times New Roman" w:cs="Times New Roman"/>
            <w:lang w:val="uk-UA"/>
          </w:rPr>
          <w:t>.</w:t>
        </w:r>
        <w:r w:rsidRPr="00040128">
          <w:rPr>
            <w:rStyle w:val="ad"/>
            <w:rFonts w:ascii="Times New Roman" w:hAnsi="Times New Roman" w:cs="Times New Roman"/>
          </w:rPr>
          <w:t>naftogaz</w:t>
        </w:r>
        <w:r w:rsidRPr="00040128">
          <w:rPr>
            <w:rStyle w:val="ad"/>
            <w:rFonts w:ascii="Times New Roman" w:hAnsi="Times New Roman" w:cs="Times New Roman"/>
            <w:lang w:val="uk-UA"/>
          </w:rPr>
          <w:t>.</w:t>
        </w:r>
        <w:r w:rsidRPr="00040128">
          <w:rPr>
            <w:rStyle w:val="ad"/>
            <w:rFonts w:ascii="Times New Roman" w:hAnsi="Times New Roman" w:cs="Times New Roman"/>
          </w:rPr>
          <w:t>com</w:t>
        </w:r>
        <w:r w:rsidRPr="00040128">
          <w:rPr>
            <w:rStyle w:val="ad"/>
            <w:rFonts w:ascii="Times New Roman" w:hAnsi="Times New Roman" w:cs="Times New Roman"/>
            <w:lang w:val="uk-UA"/>
          </w:rPr>
          <w:t>/</w:t>
        </w:r>
        <w:r w:rsidRPr="00040128">
          <w:rPr>
            <w:rStyle w:val="ad"/>
            <w:rFonts w:ascii="Times New Roman" w:hAnsi="Times New Roman" w:cs="Times New Roman"/>
          </w:rPr>
          <w:t>files</w:t>
        </w:r>
        <w:r w:rsidRPr="00040128">
          <w:rPr>
            <w:rStyle w:val="ad"/>
            <w:rFonts w:ascii="Times New Roman" w:hAnsi="Times New Roman" w:cs="Times New Roman"/>
            <w:lang w:val="uk-UA"/>
          </w:rPr>
          <w:t>/</w:t>
        </w:r>
        <w:r w:rsidRPr="00040128">
          <w:rPr>
            <w:rStyle w:val="ad"/>
            <w:rFonts w:ascii="Times New Roman" w:hAnsi="Times New Roman" w:cs="Times New Roman"/>
          </w:rPr>
          <w:t>Zvity</w:t>
        </w:r>
        <w:r w:rsidRPr="00040128">
          <w:rPr>
            <w:rStyle w:val="ad"/>
            <w:rFonts w:ascii="Times New Roman" w:hAnsi="Times New Roman" w:cs="Times New Roman"/>
            <w:lang w:val="uk-UA"/>
          </w:rPr>
          <w:t>/</w:t>
        </w:r>
        <w:r w:rsidRPr="00040128">
          <w:rPr>
            <w:rStyle w:val="ad"/>
            <w:rFonts w:ascii="Times New Roman" w:hAnsi="Times New Roman" w:cs="Times New Roman"/>
          </w:rPr>
          <w:t>Annual</w:t>
        </w:r>
        <w:r w:rsidRPr="00040128">
          <w:rPr>
            <w:rStyle w:val="ad"/>
            <w:rFonts w:ascii="Times New Roman" w:hAnsi="Times New Roman" w:cs="Times New Roman"/>
            <w:lang w:val="uk-UA"/>
          </w:rPr>
          <w:t>-</w:t>
        </w:r>
        <w:r w:rsidRPr="00040128">
          <w:rPr>
            <w:rStyle w:val="ad"/>
            <w:rFonts w:ascii="Times New Roman" w:hAnsi="Times New Roman" w:cs="Times New Roman"/>
          </w:rPr>
          <w:t>Report</w:t>
        </w:r>
        <w:r w:rsidRPr="00040128">
          <w:rPr>
            <w:rStyle w:val="ad"/>
            <w:rFonts w:ascii="Times New Roman" w:hAnsi="Times New Roman" w:cs="Times New Roman"/>
            <w:lang w:val="uk-UA"/>
          </w:rPr>
          <w:t>-2018-</w:t>
        </w:r>
        <w:r w:rsidRPr="00040128">
          <w:rPr>
            <w:rStyle w:val="ad"/>
            <w:rFonts w:ascii="Times New Roman" w:hAnsi="Times New Roman" w:cs="Times New Roman"/>
          </w:rPr>
          <w:t>ukr</w:t>
        </w:r>
        <w:r w:rsidRPr="00040128">
          <w:rPr>
            <w:rStyle w:val="ad"/>
            <w:rFonts w:ascii="Times New Roman" w:hAnsi="Times New Roman" w:cs="Times New Roman"/>
            <w:lang w:val="uk-UA"/>
          </w:rPr>
          <w:t>.</w:t>
        </w:r>
        <w:proofErr w:type="spellStart"/>
        <w:r w:rsidRPr="00040128">
          <w:rPr>
            <w:rStyle w:val="ad"/>
            <w:rFonts w:ascii="Times New Roman" w:hAnsi="Times New Roman" w:cs="Times New Roman"/>
          </w:rPr>
          <w:t>pdf</w:t>
        </w:r>
        <w:proofErr w:type="spellEnd"/>
      </w:hyperlink>
    </w:p>
    <w:p w:rsidR="00040128" w:rsidRPr="002C21C9" w:rsidRDefault="00040128" w:rsidP="00040128">
      <w:pPr>
        <w:pStyle w:val="aa"/>
        <w:rPr>
          <w:lang w:val="uk-U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38" w:rsidRPr="00A010F9" w:rsidRDefault="0065103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A010F9">
      <w:rPr>
        <w:rFonts w:ascii="Times New Roman" w:hAnsi="Times New Roman" w:cs="Times New Roman"/>
        <w:sz w:val="24"/>
        <w:szCs w:val="24"/>
      </w:rPr>
      <w:fldChar w:fldCharType="begin"/>
    </w:r>
    <w:r w:rsidRPr="00A010F9">
      <w:rPr>
        <w:rFonts w:ascii="Times New Roman" w:hAnsi="Times New Roman" w:cs="Times New Roman"/>
        <w:sz w:val="24"/>
        <w:szCs w:val="24"/>
      </w:rPr>
      <w:instrText xml:space="preserve"> PAGE </w:instrText>
    </w:r>
    <w:r w:rsidRPr="00A010F9">
      <w:rPr>
        <w:rFonts w:ascii="Times New Roman" w:hAnsi="Times New Roman" w:cs="Times New Roman"/>
        <w:sz w:val="24"/>
        <w:szCs w:val="24"/>
      </w:rPr>
      <w:fldChar w:fldCharType="separate"/>
    </w:r>
    <w:r w:rsidR="005D34B0">
      <w:rPr>
        <w:rFonts w:ascii="Times New Roman" w:hAnsi="Times New Roman" w:cs="Times New Roman"/>
        <w:noProof/>
        <w:sz w:val="24"/>
        <w:szCs w:val="24"/>
      </w:rPr>
      <w:t>9</w:t>
    </w:r>
    <w:r w:rsidRPr="00A010F9">
      <w:rPr>
        <w:rFonts w:ascii="Times New Roman" w:hAnsi="Times New Roman" w:cs="Times New Roman"/>
        <w:sz w:val="24"/>
        <w:szCs w:val="24"/>
      </w:rPr>
      <w:fldChar w:fldCharType="end"/>
    </w:r>
  </w:p>
  <w:p w:rsidR="00651038" w:rsidRDefault="006510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C5E"/>
    <w:multiLevelType w:val="multilevel"/>
    <w:tmpl w:val="2B5E2256"/>
    <w:styleLink w:val="WW8Num24"/>
    <w:lvl w:ilvl="0">
      <w:start w:val="1"/>
      <w:numFmt w:val="decimal"/>
      <w:lvlText w:val="(%1)"/>
      <w:lvlJc w:val="left"/>
      <w:rPr>
        <w:b w:val="0"/>
        <w:bCs/>
        <w:lang w:val="uk-UA"/>
      </w:rPr>
    </w:lvl>
    <w:lvl w:ilvl="1">
      <w:numFmt w:val="bullet"/>
      <w:lvlText w:val=""/>
      <w:lvlJc w:val="left"/>
      <w:rPr>
        <w:rFonts w:ascii="Symbol" w:hAnsi="Symbol" w:cs="Symbol"/>
        <w:b w:val="0"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(%4)"/>
      <w:lvlJc w:val="left"/>
      <w:rPr>
        <w:b w:val="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russianLower"/>
      <w:lvlText w:val="(%9)"/>
      <w:lvlJc w:val="left"/>
      <w:rPr>
        <w:rFonts w:ascii="Times New Roman" w:hAnsi="Times New Roman" w:hint="default"/>
        <w:b w:val="0"/>
        <w:i w:val="0"/>
        <w:color w:val="000000"/>
        <w:sz w:val="24"/>
        <w:szCs w:val="24"/>
      </w:rPr>
    </w:lvl>
  </w:abstractNum>
  <w:abstractNum w:abstractNumId="1">
    <w:nsid w:val="7F105FD0"/>
    <w:multiLevelType w:val="hybridMultilevel"/>
    <w:tmpl w:val="72EA0CF0"/>
    <w:lvl w:ilvl="0" w:tplc="C9D8226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6">
      <w:lvl w:ilvl="6">
        <w:start w:val="1"/>
        <w:numFmt w:val="decimal"/>
        <w:lvlText w:val="%7."/>
        <w:lvlJc w:val="left"/>
      </w:lvl>
    </w:lvlOverride>
    <w:lvlOverride w:ilvl="8">
      <w:lvl w:ilvl="8">
        <w:start w:val="1"/>
        <w:numFmt w:val="russianLower"/>
        <w:lvlText w:val="(%9)"/>
        <w:lvlJc w:val="left"/>
        <w:rPr>
          <w:rFonts w:ascii="Times New Roman" w:hAnsi="Times New Roman" w:hint="default"/>
          <w:b w:val="0"/>
          <w:i w:val="0"/>
          <w:color w:val="000000"/>
          <w:sz w:val="24"/>
          <w:szCs w:val="24"/>
        </w:r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80"/>
    <w:rsid w:val="00040128"/>
    <w:rsid w:val="00080FC5"/>
    <w:rsid w:val="000A4298"/>
    <w:rsid w:val="000B0426"/>
    <w:rsid w:val="000B3E4F"/>
    <w:rsid w:val="00132010"/>
    <w:rsid w:val="00156CF9"/>
    <w:rsid w:val="00180634"/>
    <w:rsid w:val="001C1F0A"/>
    <w:rsid w:val="001E3B19"/>
    <w:rsid w:val="001F0823"/>
    <w:rsid w:val="00200444"/>
    <w:rsid w:val="00211A45"/>
    <w:rsid w:val="002C21C9"/>
    <w:rsid w:val="003048DF"/>
    <w:rsid w:val="00332A0D"/>
    <w:rsid w:val="003A7F78"/>
    <w:rsid w:val="003B4EB6"/>
    <w:rsid w:val="003D5F82"/>
    <w:rsid w:val="00405F68"/>
    <w:rsid w:val="00432E12"/>
    <w:rsid w:val="004338A3"/>
    <w:rsid w:val="00456047"/>
    <w:rsid w:val="0047290F"/>
    <w:rsid w:val="00494864"/>
    <w:rsid w:val="004E71E7"/>
    <w:rsid w:val="004E7E59"/>
    <w:rsid w:val="004F63B2"/>
    <w:rsid w:val="005002EF"/>
    <w:rsid w:val="0055411D"/>
    <w:rsid w:val="00570B7F"/>
    <w:rsid w:val="00575282"/>
    <w:rsid w:val="00582CE6"/>
    <w:rsid w:val="005D34B0"/>
    <w:rsid w:val="00600385"/>
    <w:rsid w:val="006014AC"/>
    <w:rsid w:val="00651038"/>
    <w:rsid w:val="006A44EB"/>
    <w:rsid w:val="006A4E85"/>
    <w:rsid w:val="006D37D9"/>
    <w:rsid w:val="006E5DC2"/>
    <w:rsid w:val="006E76F4"/>
    <w:rsid w:val="006F6F0E"/>
    <w:rsid w:val="007067A5"/>
    <w:rsid w:val="0078544E"/>
    <w:rsid w:val="007C636E"/>
    <w:rsid w:val="007C666A"/>
    <w:rsid w:val="007E076F"/>
    <w:rsid w:val="00872CC3"/>
    <w:rsid w:val="008846B8"/>
    <w:rsid w:val="00890D0E"/>
    <w:rsid w:val="008D5BD9"/>
    <w:rsid w:val="00937BCB"/>
    <w:rsid w:val="0094324D"/>
    <w:rsid w:val="00961762"/>
    <w:rsid w:val="009A0521"/>
    <w:rsid w:val="009B440D"/>
    <w:rsid w:val="009C3E71"/>
    <w:rsid w:val="009D7915"/>
    <w:rsid w:val="009E6A87"/>
    <w:rsid w:val="00A010F9"/>
    <w:rsid w:val="00A04C3E"/>
    <w:rsid w:val="00A27FD3"/>
    <w:rsid w:val="00A3204A"/>
    <w:rsid w:val="00B02E26"/>
    <w:rsid w:val="00B039B5"/>
    <w:rsid w:val="00B61319"/>
    <w:rsid w:val="00B62F88"/>
    <w:rsid w:val="00B8070C"/>
    <w:rsid w:val="00BA1B00"/>
    <w:rsid w:val="00BA5E63"/>
    <w:rsid w:val="00BD4DC1"/>
    <w:rsid w:val="00C22ADE"/>
    <w:rsid w:val="00C37DAA"/>
    <w:rsid w:val="00C726C6"/>
    <w:rsid w:val="00C95F00"/>
    <w:rsid w:val="00CA4CB6"/>
    <w:rsid w:val="00CA5CD5"/>
    <w:rsid w:val="00CC413F"/>
    <w:rsid w:val="00CF05DA"/>
    <w:rsid w:val="00D057A9"/>
    <w:rsid w:val="00D7729F"/>
    <w:rsid w:val="00DD48D3"/>
    <w:rsid w:val="00DF442E"/>
    <w:rsid w:val="00E00C8B"/>
    <w:rsid w:val="00E32C55"/>
    <w:rsid w:val="00E44FC8"/>
    <w:rsid w:val="00E62512"/>
    <w:rsid w:val="00E74CF5"/>
    <w:rsid w:val="00E804E5"/>
    <w:rsid w:val="00EA1A91"/>
    <w:rsid w:val="00EC124E"/>
    <w:rsid w:val="00EF212B"/>
    <w:rsid w:val="00F05793"/>
    <w:rsid w:val="00F26566"/>
    <w:rsid w:val="00F43F80"/>
    <w:rsid w:val="00F64E78"/>
    <w:rsid w:val="00F65FF1"/>
    <w:rsid w:val="00F67F93"/>
    <w:rsid w:val="00F7647A"/>
    <w:rsid w:val="00F94E7C"/>
    <w:rsid w:val="00F96C60"/>
    <w:rsid w:val="00FD103F"/>
    <w:rsid w:val="00FD5967"/>
    <w:rsid w:val="00FF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9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5967"/>
  </w:style>
  <w:style w:type="numbering" w:customStyle="1" w:styleId="WW8Num24">
    <w:name w:val="WW8Num24"/>
    <w:basedOn w:val="a2"/>
    <w:rsid w:val="00FD5967"/>
    <w:pPr>
      <w:numPr>
        <w:numId w:val="3"/>
      </w:numPr>
    </w:pPr>
  </w:style>
  <w:style w:type="paragraph" w:styleId="a5">
    <w:name w:val="Balloon Text"/>
    <w:basedOn w:val="a"/>
    <w:link w:val="a6"/>
    <w:uiPriority w:val="99"/>
    <w:semiHidden/>
    <w:unhideWhenUsed/>
    <w:rsid w:val="00FD5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967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2C21C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C21C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C21C9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2C21C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C21C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C21C9"/>
    <w:rPr>
      <w:vertAlign w:val="superscript"/>
    </w:rPr>
  </w:style>
  <w:style w:type="character" w:styleId="ad">
    <w:name w:val="Hyperlink"/>
    <w:basedOn w:val="a0"/>
    <w:uiPriority w:val="99"/>
    <w:unhideWhenUsed/>
    <w:rsid w:val="002C21C9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6E76F4"/>
    <w:pPr>
      <w:ind w:left="720"/>
      <w:contextualSpacing/>
    </w:pPr>
  </w:style>
  <w:style w:type="paragraph" w:customStyle="1" w:styleId="rvps14">
    <w:name w:val="rvps14"/>
    <w:basedOn w:val="a"/>
    <w:rsid w:val="000B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0B3E4F"/>
  </w:style>
  <w:style w:type="paragraph" w:styleId="HTML">
    <w:name w:val="HTML Preformatted"/>
    <w:basedOn w:val="a"/>
    <w:link w:val="HTML0"/>
    <w:uiPriority w:val="99"/>
    <w:semiHidden/>
    <w:unhideWhenUsed/>
    <w:rsid w:val="00EA1A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A9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F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67F93"/>
  </w:style>
  <w:style w:type="character" w:styleId="af1">
    <w:name w:val="FollowedHyperlink"/>
    <w:basedOn w:val="a0"/>
    <w:uiPriority w:val="99"/>
    <w:semiHidden/>
    <w:unhideWhenUsed/>
    <w:rsid w:val="00040128"/>
    <w:rPr>
      <w:color w:val="800080" w:themeColor="followedHyperlink"/>
      <w:u w:val="single"/>
    </w:rPr>
  </w:style>
  <w:style w:type="paragraph" w:styleId="af2">
    <w:name w:val="Body Text"/>
    <w:basedOn w:val="a"/>
    <w:link w:val="af3"/>
    <w:rsid w:val="001E3B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rsid w:val="001E3B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9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5967"/>
  </w:style>
  <w:style w:type="numbering" w:customStyle="1" w:styleId="WW8Num24">
    <w:name w:val="WW8Num24"/>
    <w:basedOn w:val="a2"/>
    <w:rsid w:val="00FD5967"/>
    <w:pPr>
      <w:numPr>
        <w:numId w:val="3"/>
      </w:numPr>
    </w:pPr>
  </w:style>
  <w:style w:type="paragraph" w:styleId="a5">
    <w:name w:val="Balloon Text"/>
    <w:basedOn w:val="a"/>
    <w:link w:val="a6"/>
    <w:uiPriority w:val="99"/>
    <w:semiHidden/>
    <w:unhideWhenUsed/>
    <w:rsid w:val="00FD5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967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2C21C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C21C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C21C9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2C21C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C21C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C21C9"/>
    <w:rPr>
      <w:vertAlign w:val="superscript"/>
    </w:rPr>
  </w:style>
  <w:style w:type="character" w:styleId="ad">
    <w:name w:val="Hyperlink"/>
    <w:basedOn w:val="a0"/>
    <w:uiPriority w:val="99"/>
    <w:unhideWhenUsed/>
    <w:rsid w:val="002C21C9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6E76F4"/>
    <w:pPr>
      <w:ind w:left="720"/>
      <w:contextualSpacing/>
    </w:pPr>
  </w:style>
  <w:style w:type="paragraph" w:customStyle="1" w:styleId="rvps14">
    <w:name w:val="rvps14"/>
    <w:basedOn w:val="a"/>
    <w:rsid w:val="000B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0B3E4F"/>
  </w:style>
  <w:style w:type="paragraph" w:styleId="HTML">
    <w:name w:val="HTML Preformatted"/>
    <w:basedOn w:val="a"/>
    <w:link w:val="HTML0"/>
    <w:uiPriority w:val="99"/>
    <w:semiHidden/>
    <w:unhideWhenUsed/>
    <w:rsid w:val="00EA1A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A9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F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67F93"/>
  </w:style>
  <w:style w:type="character" w:styleId="af1">
    <w:name w:val="FollowedHyperlink"/>
    <w:basedOn w:val="a0"/>
    <w:uiPriority w:val="99"/>
    <w:semiHidden/>
    <w:unhideWhenUsed/>
    <w:rsid w:val="00040128"/>
    <w:rPr>
      <w:color w:val="800080" w:themeColor="followedHyperlink"/>
      <w:u w:val="single"/>
    </w:rPr>
  </w:style>
  <w:style w:type="paragraph" w:styleId="af2">
    <w:name w:val="Body Text"/>
    <w:basedOn w:val="a"/>
    <w:link w:val="af3"/>
    <w:rsid w:val="001E3B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rsid w:val="001E3B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02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ftogaz.com/files/Zvity/Annual-Report-2018-ukr.pdf" TargetMode="External"/><Relationship Id="rId1" Type="http://schemas.openxmlformats.org/officeDocument/2006/relationships/hyperlink" Target="http://www.naftogaz.com/www/3/nakweb.nsf/0/3A25D65C2606A6C9C22570D800318869?OpenDocu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7ACE45B-FF28-4F8E-9916-78FC0702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Крамар Анастасія Павлівна</dc:creator>
  <cp:lastModifiedBy>Тітенко Вікторія Ігорівна</cp:lastModifiedBy>
  <cp:revision>2</cp:revision>
  <cp:lastPrinted>2020-02-20T11:33:00Z</cp:lastPrinted>
  <dcterms:created xsi:type="dcterms:W3CDTF">2020-02-21T08:25:00Z</dcterms:created>
  <dcterms:modified xsi:type="dcterms:W3CDTF">2020-02-21T08:25:00Z</dcterms:modified>
</cp:coreProperties>
</file>