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2"/>
        <w:gridCol w:w="4394"/>
        <w:gridCol w:w="4862"/>
        <w:gridCol w:w="59"/>
      </w:tblGrid>
      <w:tr w:rsidR="003E0362">
        <w:trPr>
          <w:trHeight w:hRule="exact" w:val="329"/>
        </w:trPr>
        <w:tc>
          <w:tcPr>
            <w:tcW w:w="10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Pr="00B93633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  № ПЛТ/ 02315340</w:t>
            </w:r>
            <w:r w:rsidR="00B93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/41</w:t>
            </w:r>
          </w:p>
        </w:tc>
        <w:tc>
          <w:tcPr>
            <w:tcW w:w="59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493"/>
        </w:trPr>
        <w:tc>
          <w:tcPr>
            <w:tcW w:w="10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 надання послуг з обробки даних, постачання, видачі та обслуговування кваліфікованих сертифікатів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ідкритих ключів кваліфікованого електронного підпису</w:t>
            </w:r>
          </w:p>
        </w:tc>
        <w:tc>
          <w:tcPr>
            <w:tcW w:w="59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274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м. Киї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39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8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B9363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від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26/12/</w:t>
            </w:r>
            <w:r w:rsidR="00860E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 р.</w:t>
            </w:r>
          </w:p>
        </w:tc>
        <w:tc>
          <w:tcPr>
            <w:tcW w:w="59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438"/>
        </w:trPr>
        <w:tc>
          <w:tcPr>
            <w:tcW w:w="5976" w:type="dxa"/>
            <w:gridSpan w:val="2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8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1151"/>
        </w:trPr>
        <w:tc>
          <w:tcPr>
            <w:tcW w:w="10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Товариство з обмеженою відповідальністю «Центр сертифікації ключів «Україна» (далі - Центр) в особі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іністратор реєстраціїї  Горбатько Олексій Григорійович,  що діє на підставі Доручення № 9 від 01/10/17,  з одного боку, і Бюджетно-фiнансове управлiння виконавчого комiтету Полтавської мiської ради,(далі</w:t>
            </w:r>
            <w:r w:rsidR="00B936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Клієнт) в особі </w:t>
            </w:r>
            <w:r w:rsidR="00B936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начальника Чумак Т.М.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що діє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ід</w:t>
            </w:r>
            <w:r w:rsidR="00B936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ставі </w:t>
            </w:r>
            <w:r w:rsidR="00B936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Положення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 іншого боку, далі разом іменуються як Сторони, а кожна окремо - Сторона, уклали цей Договір про наступне: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59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274"/>
        </w:trPr>
        <w:tc>
          <w:tcPr>
            <w:tcW w:w="10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1.Загальні положення</w:t>
            </w:r>
          </w:p>
        </w:tc>
        <w:tc>
          <w:tcPr>
            <w:tcW w:w="59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6522"/>
        </w:trPr>
        <w:tc>
          <w:tcPr>
            <w:tcW w:w="10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1.1. Цей Догові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укладається безпосередньо з Клієнтом або через його уповноваженого представника, який повинен надати документ, що посвідчує його особу і документ, яким він уповноважений на укладання Договору.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1.2.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ідписувачем кваліфікованого електронного підпису (далі - КЕП) є Клієнт або його представник, який на законних підставах володіє особистим ключем, що відповідає відкритому ключу. Сформований Центром кваліфікований сертифікат відкритого ключа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ідписувача КЕП (далі - сертифікат) містить цей ключ та основні дані (реквізити) підписувача.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1.3. Клієнт несе юридичну та фінансову відповідальність за виконання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ідписувачами, що його представляють, умов цього Договору.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1.4. Всі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ідписувачі мають пройти процедуру реєстрації в Центрі після встановлення їх особи згідно з п.5.2 Правил посиленої сертифікації, затверджених Наказом Департаменту спеціальних телекомунікаційних систем та захисту інформації Служби безпеки України (далі - ДСТСЗІ СБУ) від 13.01.2005 року №3 (із змінами, внесеними згідно з Наказом ДСТСЗІ СБУ від 10.05.2006 р. №50) перед поданням електронної заявки на сертифікацію відкритого ключа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ідписувача (далі – електронна заявка) до Центру.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1.5. Послуги, що надаються за цим Договором, відповідають вимогам ДСТУ 4145-2002 «Інформаційні технології. Криптографічний захист інформації. Цифровий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ідпис, що ґрунтується на еліптичних кривих. Формування та перевіряння» та вимогам до форматів, структури та протоколів, що реалізуються у надійних засобах електронного цифрового підпису, затверджених Наказом Міністерства юстиції України та Адміністрац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ії 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ержавної служби спеціального зв’язку та захисту інформації України від 20.08.2012 р. №1236/5/453.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1.6. Порядок надання послуг визначається: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Законами України «Про електронні довірчі послуги» від 05.10.2017 № 2155-VIII (далі - Закон) та «Про електронні документи та електронний документообіг» від 22.05. 2003 р. №851-IV;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- Наказом ДСТСЗІ СБУ від 13.01.2005 р. №3 «Про затвердження Правил посиленої сертифікації» (із змінами, внесеними згідно з Наказом ДСТСЗІ СБУ від 10.05.2006 р. №50) (далі - Правила);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- Регламентом роботи акредитованого центру сертифікації ключів товариства з обмеженою відповідальністю «Центр сертифікації ключів «Україна» (далі - Регламент);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- цим Договором.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1.7. Клієнт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ідтверджує, що ознайомився і погоджується з політикою сертифікації та умовами обслуговування посилених сертифікатів, які викладені в Регламенті Центру, розміщеному на електронному інформаційному загальнодоступному ресурсу в мережі Internet - сайт http://uakey.com.ua (далі – сайт Центру), Правилах та інших нормативно-правових актах, що розміщені на сайті Центрального засвідчувального органу http://www.czo.gov.ua 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1.8. У рамках даного договору Клієнт підтверджує, що Центр передав засіб КЕП, відповідно до вимог наказу Адміністрац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ії 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ержавної служби спеціального зв'язку та захисту інформації України «Про затвердження Положення про порядок розроблення, виробництва та експлуатації засобів криптографічного захисту інформації» від 20.07.2007 року №141.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1.9. Програмний комплекс «FREEDOM» – це компонент, що є складовою частиною комп’ютерної програми «M.E.Doc».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1.10. Всі інші терміни в цьому Договорі вживаються у значенні, визначеному Законом, Правилами та іншими чинними нормативно-правовими актами України.</w:t>
            </w:r>
          </w:p>
        </w:tc>
      </w:tr>
      <w:tr w:rsidR="003E0362">
        <w:trPr>
          <w:trHeight w:hRule="exact" w:val="274"/>
        </w:trPr>
        <w:tc>
          <w:tcPr>
            <w:tcW w:w="10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Предмет договору</w:t>
            </w:r>
          </w:p>
        </w:tc>
        <w:tc>
          <w:tcPr>
            <w:tcW w:w="59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2685"/>
        </w:trPr>
        <w:tc>
          <w:tcPr>
            <w:tcW w:w="10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2.1. Центр надає Клієнту, а Клієнт приймає і оплачує послуги (код 72310000-1 згідно ДК 021:2015) з обробки даних, видачі сертифікатів та їх обслуговування (далі - послуги КЕП) на умовах, визначених цим Договором, а саме: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- обробка даних: збі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сортування, архівація, захист, транспортування, перетворення даних, необхідних для ідентифікації Клієнта з метою проходження процедури реєстрації і формування сертифікатів;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- обслуговування сертифікатів: Центр реєструє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ідписувачів, формує сертифікати (у кількості _____ шт.), зберігає, розповсюджує їх, управляє статусом сертифікатів, розповсюджує інформацію про статус сертифікатів;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- за бажанням Клієнта Центр надає додаткові послуги: формування позначки часу, повідомлень про статус сертифікатів у реальному часі за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ідписом Центру;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- за бажанням Клієнта Центр надає додаткові консультації щодо створення, перевірки та використання КЕП, засобів та процедури генерації особистого та відкритого ключів, а також створення електронних заявок.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2.2. Центр зобов'язується здійснити постачання та передати у користування Клієнта програмний комплекс «FREEDOM», визначену в п. 1.9. цього Договору, а Клієнт прийняти та оплатити програмний комплекс «FREEDOM»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кількості та за цінами визначеними в чинному прайсі, що розміщений на сайті Центру.</w:t>
            </w:r>
          </w:p>
        </w:tc>
        <w:tc>
          <w:tcPr>
            <w:tcW w:w="59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274"/>
        </w:trPr>
        <w:tc>
          <w:tcPr>
            <w:tcW w:w="10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Права та обов’язки Центру</w:t>
            </w:r>
          </w:p>
        </w:tc>
        <w:tc>
          <w:tcPr>
            <w:tcW w:w="59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274"/>
        </w:trPr>
        <w:tc>
          <w:tcPr>
            <w:tcW w:w="10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3.1. Центр має право:</w:t>
            </w:r>
          </w:p>
        </w:tc>
        <w:tc>
          <w:tcPr>
            <w:tcW w:w="59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1918"/>
        </w:trPr>
        <w:tc>
          <w:tcPr>
            <w:tcW w:w="10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3.1.1. отримати і перевірити відомості про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ідписувача, що необхідні для проходження процедури реєстрації і формування сертифіката згідно з п.5.2 Правил;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3.1.2. відмовити Клієнту або його представнику -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ідписувачу в проходженні процедури реєстрації, зміні стану сертифіката та інших послугах КЕП у випадках, передбачених Регламентом й у разі порушення умов проходження процедури реєстрації та отримання послуг КЕП, передбачених цим Договором та Регламентом;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3.1.3. вимагати від Клієнта або його представника –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ідписувача усунення будь-яких порушень умов даного Договору та Регламенту;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3.1.4. розкрити інформацію про Клієнта або персональні дані його представника - підписувача відповідним органам лише у випадках, передбачених законодавством України;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3.1.5. скасовувати, блокувати та поновлювати сертифікати у випадках, передбачених цим Договором та Регламентом;</w:t>
            </w:r>
          </w:p>
        </w:tc>
        <w:tc>
          <w:tcPr>
            <w:tcW w:w="59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3E0362" w:rsidRDefault="003E036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E0362">
          <w:pgSz w:w="11926" w:h="16867"/>
          <w:pgMar w:top="568" w:right="568" w:bottom="568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38"/>
      </w:tblGrid>
      <w:tr w:rsidR="003E0362">
        <w:trPr>
          <w:trHeight w:hRule="exact" w:val="1260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3.1.6. змінювати вартість послуг КЕП та вартість постачання програмного комплексу «FREEDOM» в порядку, передбаченому цим Договором;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3.1.7. тимчасово зупиняти надання послуг та постачання програмного комплексу «FREEDOM» у випадках, передбачених цим Договором;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3.1.8. припинити дію Договору у випадках, передбачених цим Договором;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3.1.9. інші права, передбачені цим Договором, Регламентом та чинним законодавством України.</w:t>
            </w:r>
            <w:proofErr w:type="gramEnd"/>
          </w:p>
        </w:tc>
      </w:tr>
      <w:tr w:rsidR="003E0362">
        <w:trPr>
          <w:trHeight w:hRule="exact" w:val="274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3.2. Центр зобов‘язаний:</w:t>
            </w:r>
          </w:p>
        </w:tc>
      </w:tr>
      <w:tr w:rsidR="003E0362">
        <w:trPr>
          <w:trHeight w:hRule="exact" w:val="6686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3.2.1. своєчасно та якісно надавати послуги КЕП, передбачені цим Договором та Регламентом;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3.2.2. вчасно та якісно постачати програмний комплекс «FREEDOM»;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3.2.3. забезпечувати захист інформації, персональних даних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ідписувачів, використовуючи комплексну систему захисту інформації, на яку контролюючим органом видано атестат відповідності;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3.2.4. використовувати в якості алгоритмів КЕП стандарти ГОСТ 34.311-95, ДСТУ 4145-2002, ДСТУ ГОСТ 28147:2009;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3.2.5. використовувати надійні засоби КЕП для надання послуг КЕП;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3.2.6. цілодобово приймати заяви про скасування, блокування та поновлення сертифікаті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3.2.7. перевіряти дані, що вносяться до сертифіката, правочинність електронних заявок, заяв на блокування, поновлення та скасування сертифікатів;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3.2.8. скасовувати, блокувати, поновлювати сертифікати та інформувати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ідписувачів про зміну статусу їх сертифікатів у випадках, передбачених Регламентом і законодавством України;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3.2.9. перевіряти законність звернень про скасування, блокування, поновлення сертифікатів та зберігати документи, на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ідставі яких сертифікати були скасовані, заблоковані чи поновлені;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3.2.10. формувати сертифікати і видавати, за бажанням Клієнта, в електронній формі та у формі паперового документа;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3.2.11. зберігати сформовані сертифікати упродовж строку, що передбачений законодавством;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3.2.12. надати (в рамках цього Договору) засіб ЕЦП, що має експертний висновок за результатами державної експертизи ДССЗЗІ України у сфері криптографічного захисту інформації;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3.2.13. перевірити володіння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ідписувачем особистим ключем, який відповідає відкритому ключу, наданому для формування сертифіката;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3.2.14. забезпечувати цілодобовий доступ користувачів до сертифікатів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ідписувачів, які дали на це згоду, до даних про статус сертифікатів на сайті Центру;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3.2.15. надавати Клієнту інформацію та документи відносно діяльності Центру (щодо послуг, тарифі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та іншу інформацію, передбачену цим Договором та чинним законодавством України) за допомогою засобів телефонного, поштового, електронного зв’язку або шляхом розміщення її на сайті Центру;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3.2.16. шляхом розміщення на сайті Центру, в електронному вигляді передавати Клієнту експлуатаційну документацію на програмний комплекс «FREEDOM», зокрема «Інструкцію із забезпечення безпеки експлуатації» та «Інструкцію про порядок генерації ключів та поводження із ключовими документами», в яких указуються порядок установлення та обслуговування програмного комплексу «FREEDOM», забезпечення ключовими документами (ключовими даними), а також  ужиття заход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ів щодо забезпечення режиму безпеки;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3.2.17. надавати консультації з питань щодо створення, перевірки та використання КЕП, засобів та процедури генерації особистого та відкритого ключі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а також створення електронних заявок;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3.2.18. інші зобов’язання, передбачені цим Договором, Регламентом та чинним законодавством України.</w:t>
            </w:r>
          </w:p>
        </w:tc>
      </w:tr>
      <w:tr w:rsidR="003E0362">
        <w:trPr>
          <w:trHeight w:hRule="exact" w:val="274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Права та обов’язки Клієнта і його представників 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ідписувачів</w:t>
            </w:r>
          </w:p>
        </w:tc>
      </w:tr>
      <w:tr w:rsidR="003E0362">
        <w:trPr>
          <w:trHeight w:hRule="exact" w:val="274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4.1. Клієнт і його представники 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ідписувачі мають право:</w:t>
            </w:r>
          </w:p>
        </w:tc>
      </w:tr>
      <w:tr w:rsidR="003E0362">
        <w:trPr>
          <w:trHeight w:hRule="exact" w:val="2466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4.1.1. ознайомитись з інформацією щодо діяльності Центру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сфері надання послуг КЕП;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4.1.2. отримати необхідні пояснення та консультації щодо предмету цього Договору, його виконання тощо;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4.1.3. отримати консультації з питань щодо створення, перевірки та використання КЕП, засобів генерації особистого та відкритого ключів, а також створення електронних заявок та заяв на зміну статусу сертифіката в Центрі або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його 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ідокремленому пункті реєстрації (далі – ВПР);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4.1.4. обумовити публікацію свого сертифіката на сайті Центру;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4.1.5. отримати сертифікати в електронній формі та у формі паперового документа, якщо процедура реєстрації Клієнта та його представника –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ідписувача пройшла успішно;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4.1.6. подавати заяви на блокування, скасування та поновлення свого сертифіката;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4.1.7. отримувати повідомлення щодо зміни статусу свого сертифіката;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4.1.8. подавати заяви, скарги, претензії тощо;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4.1.9. інші права, передбачені цим Договором, Регламентом та чинним законодавством України.</w:t>
            </w:r>
          </w:p>
        </w:tc>
      </w:tr>
      <w:tr w:rsidR="003E0362">
        <w:trPr>
          <w:trHeight w:hRule="exact" w:val="274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4.2. Клієнт і його представники 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ідписувачі зобов’язані:</w:t>
            </w:r>
          </w:p>
        </w:tc>
      </w:tr>
      <w:tr w:rsidR="003E0362">
        <w:trPr>
          <w:trHeight w:hRule="exact" w:val="3453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4.2.1. перед укладанням цього Договору ознайомитись із Законом, Правилами, Регламентом;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4.2.2. виконувати вимоги, передбачені цим Договором, Регламентом та чинним законодавством України;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4.2.3. надавати повні, достовірні відомості та іншу інформацію відповідно до цього Договору, Регламенту Центру та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чинного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законодавства України;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4.2.4. надавати повну, достовірну інформацію, яка має бути включена до сертифіката,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 час проходження процедури реєстрації в Центрі або його ВПР, подавши належним чином оформлені документи, перелік яких розміщений на сайті Центру;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4.2.5. своєчасно та в повному обсязі проводити розрахунки за послуги КЕП та за постачання програмного комплексу «FREEDOM», що становлять предмет цього Договору;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4.2.6. використовувати особистий ключ тільки в межах своїх повноважень;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4.2.7. надавати Центру письмові обґрунтовані зауваження стосовно якості послуг КЕП та стосовно якості отриманого програмного комплексу «FREEDOM», що становлять предмет цього Договору, у разі їх виникнення, впродовж 14 (чотирнадцяти) календарних днів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ісля формування сертифікатів чи зміни їх статусу;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4.2.8. використовувати тільки засоби КЕП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 час генерації особистого та відкритого ключів, формування та перевірки КЕП, шифрування інформації), що мають сертифікат відповідності або позитивний експертний висновок за результатами державної експертизи у сфері криптографічного захисту інформації (відповідно до умов п.3.2.12. цього Договору);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4.2.9. повідомляти Центр про зміну реквізитів, що вносяться до цього Договору Клієнтом, не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ізніше 10 (десяти) робочих днів з дня настання відповідних змін;</w:t>
            </w:r>
          </w:p>
        </w:tc>
      </w:tr>
    </w:tbl>
    <w:p w:rsidR="003E0362" w:rsidRDefault="003E036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E0362">
          <w:pgSz w:w="11926" w:h="16867"/>
          <w:pgMar w:top="568" w:right="568" w:bottom="568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38"/>
        <w:gridCol w:w="234"/>
      </w:tblGrid>
      <w:tr w:rsidR="003E0362">
        <w:trPr>
          <w:trHeight w:hRule="exact" w:val="4494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4.2.10. отриманий програмний комплекс «FREEDOM» використовувати тільки в рамках цього Договору (заборонено змінювати, модифікувати та передавати іншим особам);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4.2.11. здійснювати експлуатацію програмного комплексу «FREEDOM» відповідно до вимог експлуатаційної документації, інструкції із забезпечення безпеки експлуатації засобів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І, а також інструкції про порядок генерації ключів та поводження з ключовими документами;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4.2.12. додержуватись вимог щодо використання особистих ключів, визначених Регламентом та цим Договором;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4.2.13. перевіряти відповідність отриманого сертифіката до поданої електронної заявки;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4.2.14. зберігати особисті ключі у таємниці та у спосіб, що унеможливлює ознайомлення або використання їх іншими особами;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4.2.15. не використовувати особистий ключ у разі його компрометації;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4.2.16. знати пароль доступу до особистого ключа та «фразу-пароль» для голосової аутентифікації;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4.2.17. не розголошувати та не повідомляти іншим особам пароль доступу до особистого ключа та «фразу-пароль» для голосової аутентифікації;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4.2.18. негайно інформувати Центр про наступні події, якщо вони трапилися до закінчення строку чинності сертифікатів: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- втрату або компрометацію особистого ключа;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- втрату контролю щодо ключа через компрометацію пароля;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- виявлення неточностей, інформації чи відомостей, що не відповідають дійсності;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- зміну даних, що зазначаються у сертифікатах.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Ця інформація може бути прийнята Центром по телефону.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4.2.19. при виявленні неточностей або зміні даних, зазначених у сертифікаті, відкликати цей сертифікат;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4.2.20. використовувати особистий ключ виключно для КЕП, а також дотримуватись інших вимог щодо його використання, визначених Регламентом;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4.2.21. інші зобов’язання, передбачені цим Договором, Регламентом та чинним законодавством України.</w:t>
            </w:r>
            <w:proofErr w:type="gramEnd"/>
          </w:p>
        </w:tc>
        <w:tc>
          <w:tcPr>
            <w:tcW w:w="23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274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ідстава для надання послуг КЕП та умова для формування сертифікатів</w:t>
            </w:r>
          </w:p>
        </w:tc>
        <w:tc>
          <w:tcPr>
            <w:tcW w:w="23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877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5.1.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ідставою для надання послуг КЕП є отримання Центром всіх документів, перелік та порядок подання яких визначений Регламентом Центру та Правилами й розміщений на сайті Центру.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5.2. Формування сертифікатів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ідбувається тільки за умови надання Клієнтом електронних заявок на їх створення (в електронній формі), до яких внесені реквізити підписувачів, вказаний строк чинності сертифікатів та обумовлена їх публікація.</w:t>
            </w:r>
          </w:p>
        </w:tc>
        <w:tc>
          <w:tcPr>
            <w:tcW w:w="23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329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 Термін дії сертифіката</w:t>
            </w:r>
          </w:p>
        </w:tc>
        <w:tc>
          <w:tcPr>
            <w:tcW w:w="23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274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6.1. Термін дії сертифіката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ідписувача зазначається в самому сертифікаті.</w:t>
            </w:r>
          </w:p>
        </w:tc>
        <w:tc>
          <w:tcPr>
            <w:tcW w:w="23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329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 Умови постачання</w:t>
            </w:r>
          </w:p>
        </w:tc>
        <w:tc>
          <w:tcPr>
            <w:tcW w:w="23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877"/>
        </w:trPr>
        <w:tc>
          <w:tcPr>
            <w:tcW w:w="1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7.1. Факт постачання програмного комплексу «FREEDOM» засвідчується Центром шляхом формування сертифіката Клієнта.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7.2. Датою постачання програмного комплексу «FREEDOM» є дата видачі сертифіката Клієнта.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7.3. Датою закінчення строку використання Клієнтом програмного комплексу «FREEDOM» є дата припинення дії сертифіката ключа.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7.4. Отриманий Клієнтом програмний комплекс «FREEDOM» поверненню не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ідлягає.</w:t>
            </w:r>
          </w:p>
        </w:tc>
      </w:tr>
      <w:tr w:rsidR="003E0362">
        <w:trPr>
          <w:trHeight w:hRule="exact" w:val="274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 Порядок надання послуг КЕП</w:t>
            </w:r>
          </w:p>
        </w:tc>
        <w:tc>
          <w:tcPr>
            <w:tcW w:w="23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6522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8.1. Клієнт подає до Центру або його ВПР: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- документ, що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ідтверджує оплату послуг, (якщо така оплата відбулася);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- комплект документів, необхідний для отримання сертифікатів;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- електронні заявки для кожного з підписувачів на зовнішньому носієві інформації.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8.2. Якщо дані, що вказані у сертифікатах Клієнта змінились, для отримання нових сертифікатів Клієнт повинен надати Центру документи, що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ідтверджують ці зміни.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8.3. Перевірка наданих даних та встановлення особи заявника та/або особи і повноважень його представника здійснюється посадовими особами Центру або його ВПР у відповідності до Регламенту та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чинного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законодавства України.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8.4. Центр або його ВПР перевіряє поданий комплект документі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електронні заявки на їх наявність і правильність заповнення, оплату Клієнтом послуг КЕП (якщо така оплата відбулася). Центр контролює оплату послуг КЕП, якщо вона відбувається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ісля підписання Договору.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8.5. Не приймаються до розгляду документи, які мають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ідчистки, помарки, дописки, закреслені слова, інші виправлення чи надписи олівцем, а також пошкоджені, внаслідок чого їх текст неможливо прочитати.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8.6. Якщо процедура реєстрації Клієнта та його представників –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ідписувачів пройшла успішно, Центр формує сертифікати і вносить їх у реєстр сертифікатів.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8.7. Центр або його ВПР надає Клієнту чи його уповноваженому представнику сертифікати в електронній формі та у формі паперових документів, за бажанням Клієнта забезпечує користувачам вільний доступ до сертифікатів Клієнта, якщо його представники -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ідписувачі дали на це згоду.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8.8. Дозвіл на публікацію сертифікатів на сайті Центру обумовлюється кожним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ідписувачем - представником Клієнта окремо у відповідних заявках на формування кваліфікованих сертифікатів підписувачів КЕП (далі – заявки), що є Додатками до цього Договору.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8.9. Відповідальність за забезпечення конфіденційності та цілісності особистого ключа несе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ідписувач.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8.10. Обслуговування кожного сертифіката Клієнта здійснюється Центром відповідно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Регламенту протягом строку дії кожного із сертифікатів.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8.11. Скасування, блокування та поновлення сертифікатів Клієнта відбувається відповідно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Закону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Правил та Регламенту Центру.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8.12. Електронна позначка часу - електронні дані, які пов’язують інші електронні дані з конкретним моментом часу для засвідчення наявності цих електронних даних на цей момент часу.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8.12.1. Послуга електронної позначки часу надається Клієнту цілодобово.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8.12.2. Формування електронної позначки часу здійснюється, за бажанням Клієнта,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запитом від засобу КЕП.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8.12.3. Час, який вказується в позначці часу, встановлюється за Всесвітнім координованим часом (UTC) з точністю до однієї секунди на момент формування позначки.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8.13. Консультаційні послуги Клієнту та його представникам надаються фахівцями Центру особисто або за допомогою засобів телекомунікації (телефоном, факсом, електронною поштою).</w:t>
            </w:r>
          </w:p>
        </w:tc>
        <w:tc>
          <w:tcPr>
            <w:tcW w:w="23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274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 Скасування, блокування та поновлення сертифіката</w:t>
            </w:r>
          </w:p>
        </w:tc>
        <w:tc>
          <w:tcPr>
            <w:tcW w:w="23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274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9.1. Центр негайно скасовує сформований ним сертифікат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разі:</w:t>
            </w:r>
          </w:p>
        </w:tc>
        <w:tc>
          <w:tcPr>
            <w:tcW w:w="23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329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9.1.1 подання заяви Клієнтом або його уповноваженим представником;</w:t>
            </w:r>
          </w:p>
        </w:tc>
        <w:tc>
          <w:tcPr>
            <w:tcW w:w="23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3E0362" w:rsidRDefault="003E036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E0362">
          <w:pgSz w:w="11926" w:h="16867"/>
          <w:pgMar w:top="568" w:right="568" w:bottom="568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"/>
        <w:gridCol w:w="10838"/>
      </w:tblGrid>
      <w:tr w:rsidR="003E0362">
        <w:trPr>
          <w:trHeight w:hRule="exact" w:val="274"/>
        </w:trPr>
        <w:tc>
          <w:tcPr>
            <w:tcW w:w="110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11.8.1. за належне формування всіх об‘єктів сертифікації згідно з ДСТУ 4145-2002 і вимогам до форматів, структури та протоколів, що реалізуються у надійних засобах електронного цифрового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ідпису, затверджених Наказ Міністерства юстиції України та Адміністрації</w:t>
            </w:r>
          </w:p>
        </w:tc>
      </w:tr>
      <w:tr w:rsidR="003E0362">
        <w:trPr>
          <w:trHeight w:hRule="exact" w:val="164"/>
        </w:trPr>
        <w:tc>
          <w:tcPr>
            <w:tcW w:w="110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E0362">
        <w:trPr>
          <w:trHeight w:hRule="exact" w:val="110"/>
        </w:trPr>
        <w:tc>
          <w:tcPr>
            <w:tcW w:w="11072" w:type="dxa"/>
            <w:gridSpan w:val="2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1480"/>
        </w:trPr>
        <w:tc>
          <w:tcPr>
            <w:tcW w:w="23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9.1.2 припинення діяльності Клієнта (юридичної особи), смерті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ідписувача (фізичної особи) або оголошення його померлим за рішенням суду;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9.1.3 визнання підписувача недієздатним за рішенням суду;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9.1.4 виявлення недостовірності даних, вказаних у сертифікаті;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9.1.5 компрометації особистого ключа;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9.1.6 закінчення строку чинності сертифіката ключа;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9.1.7 у випадках, зазначених в Регламенті.</w:t>
            </w:r>
          </w:p>
        </w:tc>
      </w:tr>
      <w:tr w:rsidR="003E0362">
        <w:trPr>
          <w:trHeight w:hRule="exact" w:val="274"/>
        </w:trPr>
        <w:tc>
          <w:tcPr>
            <w:tcW w:w="23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9.2. Центр блокує сертифікат:</w:t>
            </w:r>
          </w:p>
        </w:tc>
      </w:tr>
      <w:tr w:rsidR="003E0362">
        <w:trPr>
          <w:trHeight w:hRule="exact" w:val="877"/>
        </w:trPr>
        <w:tc>
          <w:tcPr>
            <w:tcW w:w="23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9.2.1 у разі подання заяви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ідписувачем, Клієнтом або його уповноваженим представником;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9.2.2 у разі отримання відомостей про компрометацію особистого ключа підписувача;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9.2.3 у разі несплати за послуги КЕП та за постачання програмного комплексу «FREEDOM» у термін, визначений цим Договору;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9.2.4 за рішенням суду, що набрало законної сили.</w:t>
            </w:r>
          </w:p>
        </w:tc>
      </w:tr>
      <w:tr w:rsidR="003E0362">
        <w:trPr>
          <w:trHeight w:hRule="exact" w:val="274"/>
        </w:trPr>
        <w:tc>
          <w:tcPr>
            <w:tcW w:w="23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9.3. Блокований сертифікат поновлюється:</w:t>
            </w:r>
          </w:p>
        </w:tc>
      </w:tr>
      <w:tr w:rsidR="003E0362">
        <w:trPr>
          <w:trHeight w:hRule="exact" w:val="877"/>
        </w:trPr>
        <w:tc>
          <w:tcPr>
            <w:tcW w:w="23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9.3.1 у разі подання заяви Клієнтом;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9.3.2 у разі встановлення недостовірності відомостей про компрометацію особистого ключа;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9.3.3 у разі сплати заборгованості за надані послуги КЕП та за постачання програмного комплексу «FREEDOM»;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9.3.4 за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ішенням суду, що набрало законної сили.</w:t>
            </w:r>
          </w:p>
        </w:tc>
      </w:tr>
      <w:tr w:rsidR="003E0362">
        <w:trPr>
          <w:trHeight w:hRule="exact" w:val="274"/>
        </w:trPr>
        <w:tc>
          <w:tcPr>
            <w:tcW w:w="23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іна Договору, вартість послуг та постачання, порядок їх оплати</w:t>
            </w:r>
          </w:p>
        </w:tc>
      </w:tr>
      <w:tr w:rsidR="003E0362">
        <w:trPr>
          <w:trHeight w:hRule="exact" w:val="6796"/>
        </w:trPr>
        <w:tc>
          <w:tcPr>
            <w:tcW w:w="23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10.1.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іна цього Договору – це сукупність грошових сум, сплачених Клієнтом за постачання програмного комплексу «FREEDOM» та за послуги КЕП, надані протягом усього строку дії цього Договору.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10.2. Вартість послуг КЕП складає 18.00 грн.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вісімнадцять грн 00 коп. ), в т.ч. ПДВ складає 3 грн. (три грн. 00 коп. ).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Вартість постачання програмного комплексу «FREEDOM» складає 640 грн.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шістсот сорок грн 00 коп. ).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Загальна ціна Договору становить 658 грн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шістсот п'ятдесят вісім грн 00 коп.) в тому числі ПДВ складає  3 грн. (три грн. 00 коп. ).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10.3 Центр виставляє Клієнту рахунок-фактуру згідно чинного прайсу, що розміщений на сайті Центру. Оплата здійснюється на підставі  Акту шляхом безготівкового перерахування  Клієнтом коштів на поточний рахунок Центру, що зазначений в цьому Договорі.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10.4 Клієнт має здійснити оплату не пізніше, ніж протягом 5 (п’яти) календарних днів з дня формування сертифікатів.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10.5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разі видачі сертифікатів на новий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термін (перереєстрації) або формування нового сертифіката у зв’язку зі зміною даних, що містяться в ньому, у випадку настання однієї з подій, передбачених п.4.2.18., або за бажанням Клієнта в будь-яких інших випадках, Клієнт повинен сплатити кошти за послуги відповідно до пп. 10.2., 10.4. цього Договору.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10.6 Вартість послуг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КЕП та постачання програмного комплексу «FREEDOM» за цим Договором може змінюватись. У такому разі Центр повідомляє про нові тарифи, не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ізніше, ніж за 10 (десять) календарних днів до дати їх вступу в силу, шляхом розміщення відповідної інформації на сайті Центру.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10.7 Датою належного виконання грошових зобов’язань Сторони визначають дату надходження коштів у розмірі, що зазначений в рахунку-фактурі на поточний рахунок Центру.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10.8 Факт надання послуг Центром та приймання їх результатів Клієнтом оформлюється Актом прийому-передачі (далі - Акт) у 2 (двох) примірниках, по одному примірнику для кожної Сторони, які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ідписуються уповноваженими представниками Сторін та засвідчуються їх печатками (за наявності у Клієнта печатки).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10.9. Сторони погоджуються, що Акти до цього Договору,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ідписані за допомогою факсиміле, є чинними, дійсними та мають юридичну силу. Сторони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ідтверджують, що факсимільні підписи аналогічні власноручним підписам Сторін.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10.10. У разі відмови Клієнта від вчинення дій передбачених п.10.8. цього Договору, він протягом 14 (чотирнадцяти) календарних днів з дня формування сертифікатів передає Центру обґрунтовану письмову відмову від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ідписання Акту.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10.11. У випадках, передбачених п.4.2.7. та п.10.10. цього Договору, Центр протягом 15 (п’ятнадцяти) календарних днів розглядає письмове звернення Клієнта, з’ясовує в чому полягають його претензії, надає письмові роз’яснення щодо питань порушених у зверненні й приймає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ішення стосовно усунення вище згаданих недоліків, у разі їх виявлення.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10.12. В день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ідписання сторонами Акту зобов’язання Центру щодо надання послуг КЕП та щодо постачання програмного комплексу «FREEDOM» вважаються виконаними. Якщо протягом строку, зазначеного в п.10.10. цього Договору, Акт з боку Клієнта не було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ідписано і Центр не отримував відмови від його підписання, то зобов’язання Центру щодо надання послуг КЕП та щодо постачання програмного комплексу «FREEDOM» вважаються виконаними у повному обсязі та належним чином. Але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це не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звільняє Сторони від оформлення Акту.</w:t>
            </w:r>
          </w:p>
        </w:tc>
      </w:tr>
      <w:tr w:rsidR="003E0362">
        <w:trPr>
          <w:trHeight w:hRule="exact" w:val="274"/>
        </w:trPr>
        <w:tc>
          <w:tcPr>
            <w:tcW w:w="23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 Відповідальність Сторін та гарантії Центру</w:t>
            </w:r>
          </w:p>
        </w:tc>
      </w:tr>
      <w:tr w:rsidR="003E0362">
        <w:trPr>
          <w:trHeight w:hRule="exact" w:val="164"/>
        </w:trPr>
        <w:tc>
          <w:tcPr>
            <w:tcW w:w="23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E0362">
        <w:trPr>
          <w:trHeight w:hRule="exact" w:val="2631"/>
        </w:trPr>
        <w:tc>
          <w:tcPr>
            <w:tcW w:w="23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11.1. За невиконання або неналежне виконання умов Договору Сторони несуть відповідальність згідно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чинного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законодавства України та цього Договору.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11.2.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 порушення строку та/або порядку оплати послуг КЕП, постачання програмного комплексу «FREEDOM», Центр блокує неоплачені сертифікати Клієнта до дати належного виконання грошових зобов’язань.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11.3.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 порушення Центром зобов’язань щодо якості послуг КЕП та/або строків їх надання та/або постачання програмного комплексу «FREEDOM», Центр несе відповідальність, передбачену ч.2 ст. 231 Господарського кодексу України.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11.4. Сторони звільняються від відповідальності за невиконання або несвоєчасне виконання своїх зобов’язань за цим Договором, якщо таке порушення було спричинене невиконанням або неналежним виконанням іншою стороною своїх зобов’язань за цим Договором.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11.5. Сторона вважається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невинною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якщо доведе, що вжила всіх залежних від неї заходів для належного виконання зобов’язань за цим Договором.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11.6. Сторони звільняються від відповідальності у випадках та у порядку, передбачених цим Договором.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11.7. Клієнт несе відповідальність за виконання його представниками –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ідписувачами умов Договору, за збереження ними особистих ключів.</w:t>
            </w:r>
          </w:p>
        </w:tc>
      </w:tr>
      <w:tr w:rsidR="003E0362">
        <w:trPr>
          <w:trHeight w:hRule="exact" w:val="274"/>
        </w:trPr>
        <w:tc>
          <w:tcPr>
            <w:tcW w:w="23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11.8. Центр несе відповідальність:</w:t>
            </w:r>
          </w:p>
        </w:tc>
      </w:tr>
      <w:tr w:rsidR="003E0362">
        <w:trPr>
          <w:trHeight w:hRule="exact" w:val="438"/>
        </w:trPr>
        <w:tc>
          <w:tcPr>
            <w:tcW w:w="234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11.8.1. за належне формування всіх об‘єктів сертифікації згідно з ДСТУ 4145-2002 і вимогам до форматів, структури та протоколів, що реалізуються у надійних засобах електронного цифрового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ідпису, затверджених Наказ Міністерства юстиції України та Адміністрації</w:t>
            </w:r>
          </w:p>
        </w:tc>
      </w:tr>
    </w:tbl>
    <w:p w:rsidR="003E0362" w:rsidRDefault="003E036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E0362">
          <w:pgSz w:w="11926" w:h="16867"/>
          <w:pgMar w:top="568" w:right="568" w:bottom="568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38"/>
      </w:tblGrid>
      <w:tr w:rsidR="003E0362">
        <w:trPr>
          <w:trHeight w:hRule="exact" w:val="1041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Державної служби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іального зв’язку та захисту інформації України від 20.08.2012 р. №1236/5/453 та іншими нормативно-правовими актами;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11.8.2. за відповідність даних, що зазначені у сертифікаті, даним, що надані Центру Клієнтом;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11.8.3. керівник та посадові особи Центру несуть відповідальність за розголошення конфіденційної інформації, зокрема відомостей про персональні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і, згідно із законодавством України.</w:t>
            </w:r>
          </w:p>
        </w:tc>
      </w:tr>
      <w:tr w:rsidR="003E0362">
        <w:trPr>
          <w:trHeight w:hRule="exact" w:val="274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11.9. Центр не несе відповідальності:</w:t>
            </w:r>
          </w:p>
        </w:tc>
      </w:tr>
      <w:tr w:rsidR="003E0362">
        <w:trPr>
          <w:trHeight w:hRule="exact" w:val="1260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11.9.1. за будь-яку шкоду, спричинену використанням Клієнтом засобів КЕП, що не мають експертного висновку в сфері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І, для генерації особистих та відкритих ключів, накладання та перевірки КЕП, заподіяну будь-якій юридичній чи фізичній особі;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11.9.2. за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будь-як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 негативні наслідки, які були спричинені порушенням Клієнтом вимог п.4.2.2 в частині порушення вимог щодо конфіденційності та компрометації особистих ключів, що сталося з вини Клієнта;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11.9.3. за збої в обміні інформацією, що виникли в результаті несправності ліній зв’язку, відключення та перебої в мережах живлення, несправності апаратних і програмних засобів Клієнта.</w:t>
            </w:r>
          </w:p>
        </w:tc>
      </w:tr>
      <w:tr w:rsidR="003E0362">
        <w:trPr>
          <w:trHeight w:hRule="exact" w:val="274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11.10.  Гарантії Центру:</w:t>
            </w:r>
          </w:p>
        </w:tc>
      </w:tr>
      <w:tr w:rsidR="003E0362">
        <w:trPr>
          <w:trHeight w:hRule="exact" w:val="877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11.10.1. Центр гарантує, що послуги, які надаються за цим Договором, відповідають вимогам ДСТУ 4145-2002 та вимогам до форматів, структури та протоколів, що реалізуються у надійних засобах електронного цифрового підпису, затверджених Наказом Міністерства юстиції України та Адміністрац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ії 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ержавної служби спеціального зв’язку та захисту інформації України від 20.08.2012 р. №1236/5/453 та іншими нормативно-правовими актами.</w:t>
            </w:r>
          </w:p>
        </w:tc>
      </w:tr>
      <w:tr w:rsidR="003E0362">
        <w:trPr>
          <w:trHeight w:hRule="exact" w:val="274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 Форс-мажорні обставини</w:t>
            </w:r>
          </w:p>
        </w:tc>
      </w:tr>
      <w:tr w:rsidR="003E0362">
        <w:trPr>
          <w:trHeight w:hRule="exact" w:val="3507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12.1. Сторони звільняються від відповідальності за часткове або повне невиконання своїх зобов’язань, якщо таке невиконання сталося внаслідок дії непереборної сили (форс-мажор), такої як: стихійні лиха (пожежі, повені, землетруси тощо), військові дії, революції,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еп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ідемії, або втручання з боку компетентних органів, зміни у чинному законодавстві, а також інших обставин надзвичайного характеру, які виникли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ісля підписання цього Договору й такі, які Сторони не могли ні передбачити, ні запобігти розумними заходами.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12.2. Сторона, яка підпала під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ію форс-мажорних обставин повинна письмово повідомити іншу Сторону впродовж 5 (п’яти) календарних днів про настання форс-мажорних обставин та про можливий термін їх припинення, а в строк до 10 (десяти) днів надати відповідні документи, які це підтверджують, від компетентних органів.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Строк виконання зобов’язань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відкладається на термін дії таких обставин.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Несвоєчасне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ізніше 5 (п’яти) днів) повідомлення про існування форс-мажорних обставин позбавляє відповідну Сторону права посилання на них для звільнення від відповідальності.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12.3. Якщо обставини, передбачені п.12.1 Договору, будуть тривати понад 90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дев’яносто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 днів, Сторони повинні вирішити питання відносно розірвання цього Договору або узгодження строку виконання обов’язків за цим Договором.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12.4. Якщо Сторони не дійдуть згоди, то Сторона, що не підпала під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ію обставин непереборної сили, має право розірвати цей Договір на підставі письмового повідомлення про це (рекомендованим листом, телеграмою тощо) іншої Сторони за 10 (десять) календарних днів до дати розірвання. Догові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вважається розірваним на 11 (одинадцятий) календарний день з моменту отримання іншою Стороною такого повідомлення.</w:t>
            </w:r>
          </w:p>
        </w:tc>
      </w:tr>
      <w:tr w:rsidR="003E0362">
        <w:trPr>
          <w:trHeight w:hRule="exact" w:val="274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 Конфіденційність</w:t>
            </w:r>
          </w:p>
        </w:tc>
      </w:tr>
      <w:tr w:rsidR="003E0362">
        <w:trPr>
          <w:trHeight w:hRule="exact" w:val="1260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13.1. Сторони домовилися вважати всю інформацію, будь-які матеріали та відомості, що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пов’язан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 з операціями, які відбуваються відповідно до цього Договору, конфіденційною інформацією.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13.2. Конфіденційна інформація не може передаватися третім особам без попередньої письмової згоди іншої сторони за цим Договором,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ім випадків, що пов’язані з одержанням офіційних дозволів, документів для виконання своїх зобов’язань за цим Договором або сплати податків та інших обов’язкових платежів, а також в інших випадках, передбачених чинним законодавством України.</w:t>
            </w:r>
          </w:p>
        </w:tc>
      </w:tr>
      <w:tr w:rsidR="003E0362">
        <w:trPr>
          <w:trHeight w:hRule="exact" w:val="274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 Дія Договору</w:t>
            </w:r>
          </w:p>
        </w:tc>
      </w:tr>
      <w:tr w:rsidR="003E0362">
        <w:trPr>
          <w:trHeight w:hRule="exact" w:val="4713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14.1. Цей Догові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вважається укладеним і набирає чинності з дати його підписання Сторонами й скріплення печатками Сторін (за наявності у Клієнта печатки).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14.2. Перебіг строку дії цього Договору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починається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у момент, визначений п.14.1 цього Договору.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14.3. До</w:t>
            </w:r>
            <w:r w:rsidR="00E602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говір вважається укладеним на _</w:t>
            </w:r>
            <w:r w:rsidR="00E602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рік(роки), а в частині виконання Центром своїх обов’язків, пов’язаних з обслуговуванням сертифікатів – до закінчення строку дії сертифікатів.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14.4. Зміни у цей Догові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можуть бути внесені тільки за домовленістю Сторін, яка оформлюється додатковим договором до цього Договору, якщо інше прямо не передбачено цим Договором або чинним законодавством України.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14.5. Зміни до цього Договору набирають чинності з дати належного оформлення Сторонами, якщо інше не встановлено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самому додатковому договорі, цьому Договорі або у чинному законодавстві України.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14.6. Догові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втрачає чинність без додаткових узгоджень Сторін у випадку: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14.6.1. закінчення строку дії всіх сертифікатів Клієнта;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14.6.2. скасування всіх сертифікатів Клієнта;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14.6.3. в інших випадках, передбачених законодавством України.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14.7. Дія Договору достроково може бути припинена: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14.7.1. за згодою Сторін;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14.7.2. у випадках, передбачених п.8.11. цього Договору;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14.7.3. з ініціативи Центру (за умови скасування сертифіката Центру або у випадку припинення діяльності Центру);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14.7.4. в інших випадках, передбачених законодавством України.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14.8. У випадку дострокового припинення дії Договору Центр скасовує сертифікати Клієнта.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14.9. Закінчення строку дії цього Договору не звільняє Сторони від відповідальності за його порушення, яке мало місце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 час дії цього Договору.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14.10. Після підписання цього Договору всі попередн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 Д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оговори про надання послуг КЕП, якщо такі укладалися між Клієнтом та Центром раніше, втрачають силу.</w:t>
            </w:r>
          </w:p>
        </w:tc>
      </w:tr>
      <w:tr w:rsidR="003E0362">
        <w:trPr>
          <w:trHeight w:hRule="exact" w:val="274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  Захист персональних даних</w:t>
            </w:r>
          </w:p>
        </w:tc>
      </w:tr>
      <w:tr w:rsidR="003E0362">
        <w:trPr>
          <w:trHeight w:hRule="exact" w:val="877"/>
        </w:trPr>
        <w:tc>
          <w:tcPr>
            <w:tcW w:w="10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15.1. Сторони погоджуються, що у зв’язку з цим Договором можлива передача одна одній персональних даних своїх представників - суб’єктів персональних даних.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15.2. Персональні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 представників Сторін, що були отримані у зв’язку з виконанням цього Договору можуть зберігатися відповідною Стороною безстроково, якщо інше не передбачене чинним законодавством.</w:t>
            </w:r>
          </w:p>
        </w:tc>
      </w:tr>
    </w:tbl>
    <w:p w:rsidR="003E0362" w:rsidRDefault="003E036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3E0362">
          <w:pgSz w:w="11926" w:h="16867"/>
          <w:pgMar w:top="568" w:right="568" w:bottom="568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"/>
        <w:gridCol w:w="59"/>
        <w:gridCol w:w="234"/>
        <w:gridCol w:w="3866"/>
        <w:gridCol w:w="410"/>
        <w:gridCol w:w="1757"/>
        <w:gridCol w:w="3866"/>
        <w:gridCol w:w="586"/>
        <w:gridCol w:w="117"/>
        <w:gridCol w:w="117"/>
      </w:tblGrid>
      <w:tr w:rsidR="003E0362">
        <w:trPr>
          <w:trHeight w:hRule="exact" w:val="3124"/>
        </w:trPr>
        <w:tc>
          <w:tcPr>
            <w:tcW w:w="10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15.3. У зв’язку з вищевикладеним та у відповідності до Закону України «Про захист персональних даних» від 01.06.2010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 2297-VI (далі – Закон № 2297-VI), Сторони підтверджують та гарантують наступне: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15.3.1. будь-які персональні дані, що передаються іншій Стороні, обробляються відповідно до вимог чинного законодавства України в сфері захисту персональних даних;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15.3.2. Сторони гарантують, що обробка персональних даних у зв’язку з виконанням цього Договору обмежується метою обробки персональних даних, що зазначена у згоді на обробку персональних даних відповідного представника передаючої Сторони або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чинному законодавстві;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15.3.3. всі представники, персональні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 яких передаються, належним чином повідомлені про свої права, мету обробки та осіб, яким ці дані можуть передаватися, відповідно до Закону № 2297-VI;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15.3.4. персональні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 представників однієї Сторони обробляються іншою Стороною виключно у зв’язку з виконанням цього Договору і Сторона, що отримала такі персональні дані, включає їх у власні бази даних.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15.4. Сторони зобов'язуються належним чином виконувати вимоги Закону № 2297-VI, зокрема, зобов’язуються здійснити всі необхідні організаційні та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ічні заходи для належного захисту отриманих від іншої Сторони персональних даних представників.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15.5. Сторона, що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передала персональні дан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 своїх представників іншій Стороні при недотриманні вказаних гарантій та/або при порушенні законодавства про захист персональних даних, самостійно несе відповідальність за всі наслідки такого порушення.</w:t>
            </w:r>
          </w:p>
        </w:tc>
        <w:tc>
          <w:tcPr>
            <w:tcW w:w="234" w:type="dxa"/>
            <w:gridSpan w:val="2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274"/>
        </w:trPr>
        <w:tc>
          <w:tcPr>
            <w:tcW w:w="10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 Порядок вирішення спірних питань</w:t>
            </w:r>
          </w:p>
        </w:tc>
        <w:tc>
          <w:tcPr>
            <w:tcW w:w="234" w:type="dxa"/>
            <w:gridSpan w:val="2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877"/>
        </w:trPr>
        <w:tc>
          <w:tcPr>
            <w:tcW w:w="10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16.1. У випадку виникнення спорі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розбіжностей з питань, що становлять предмет цього Договору або у зв’язку з ним, Сторони вживають всіх можливих заходів для їх вирішення шляхом переговорів.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16.2. Якщо Сторони не зможуть дійти згоди, всі спори та розбіжності, що виникають при виконанні цього Договору, вирішуються відповідно до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чинного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законодавства України.</w:t>
            </w:r>
          </w:p>
        </w:tc>
        <w:tc>
          <w:tcPr>
            <w:tcW w:w="234" w:type="dxa"/>
            <w:gridSpan w:val="2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274"/>
        </w:trPr>
        <w:tc>
          <w:tcPr>
            <w:tcW w:w="10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 Прикінцеві положення</w:t>
            </w:r>
          </w:p>
        </w:tc>
        <w:tc>
          <w:tcPr>
            <w:tcW w:w="234" w:type="dxa"/>
            <w:gridSpan w:val="2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4713"/>
        </w:trPr>
        <w:tc>
          <w:tcPr>
            <w:tcW w:w="10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17.1. У випадках, не передбачених цим Договором, Сторони керуються чинним законодавством України.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17.2. Центр має статус платника податку на прибуток на загальних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ідставах.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17.3. Клієнт має статус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неприбуткова установа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17.4. Сторони несуть повну відповідальність за правильність вказаних ними у цьому Договорі реквізиті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зобов'язуються своєчасно повідомляти іншу Сторону про їх зміну.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17.5. Додатки до цього Договору є його невід'ємними частинами і мають юридичну силу у разі, якщо вони викладені у письмовій формі,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ідписані Сторонами та скріплені їх печатками (за наявності у Клієнта печатки).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ім заявок, що підписуються тільки Клієнтом.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17.6. Додаткові договори до цього Договору є його невід'ємними частинами і мають юридичну силу у разі, якщо вони викладені у письмовій формі,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ідписані Сторонами та скріплені їх печатками (за наявності у Клієнта печатки).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17.7. Всі виправлення за текстом цього Договору мають юридичну силу та можуть враховуватися виключно за умови, що вони у кожному окремому випадку датовані, засвідчені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ідписами Сторін та скріплені їх печатками (за наявності у Клієнта печатки.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17.8. У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своїй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діяльності Сторони погоджуються використовувати електронні документи та призначені для цього КЕП. Сторони визнають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будь-як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 документи в електронному вигляді із застосуванням КЕП, складені та надані будь-якою Стороною іншій засобами телекомунікаційного  зв'язку або на електронних носіях, як оригінали, що мають юридичну силу. 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17.9. Сторони визнають, що КЕП за правовим статусом прирівнюється до власноручного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ідпису (печатки) Центру та Клієнта у разі, якщо: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- строк дії, зазначений у кваліфікованому сертифікаті відкритого ключа, не закінчився;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- суб’єктом, який видав сертифікат, статус кваліфікованого сертифіката відкритого ключа не змінено на скасований або блокований з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ідстав, визначених Законом «Про електронні довірчі послуги»;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- за попередніми двома ознаками був чинним кваліфікований сертифікат відкритого ключа суб’єкта, який видав сертифікат.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  <w:t>17.10. Цей Догові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укладений при повному розумінні Сторонами його умов та термінології, українською мовою у двох автентичних примірниках, які мають однакову юридичну силу, - по одному для кожної із Сторін.</w:t>
            </w:r>
          </w:p>
        </w:tc>
        <w:tc>
          <w:tcPr>
            <w:tcW w:w="234" w:type="dxa"/>
            <w:gridSpan w:val="2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55"/>
        </w:trPr>
        <w:tc>
          <w:tcPr>
            <w:tcW w:w="11071" w:type="dxa"/>
            <w:gridSpan w:val="10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274"/>
        </w:trPr>
        <w:tc>
          <w:tcPr>
            <w:tcW w:w="118" w:type="dxa"/>
            <w:gridSpan w:val="2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Юридичні адреси та банківські реквізити Сторін</w:t>
            </w:r>
          </w:p>
        </w:tc>
      </w:tr>
      <w:tr w:rsidR="003E0362">
        <w:trPr>
          <w:trHeight w:hRule="exact" w:val="55"/>
        </w:trPr>
        <w:tc>
          <w:tcPr>
            <w:tcW w:w="11071" w:type="dxa"/>
            <w:gridSpan w:val="10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274"/>
        </w:trPr>
        <w:tc>
          <w:tcPr>
            <w:tcW w:w="352" w:type="dxa"/>
            <w:gridSpan w:val="3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Центр:</w:t>
            </w:r>
          </w:p>
        </w:tc>
        <w:tc>
          <w:tcPr>
            <w:tcW w:w="2167" w:type="dxa"/>
            <w:gridSpan w:val="2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Клієнт:</w:t>
            </w:r>
          </w:p>
        </w:tc>
        <w:tc>
          <w:tcPr>
            <w:tcW w:w="820" w:type="dxa"/>
            <w:gridSpan w:val="3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110"/>
        </w:trPr>
        <w:tc>
          <w:tcPr>
            <w:tcW w:w="11071" w:type="dxa"/>
            <w:gridSpan w:val="10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2247"/>
        </w:trPr>
        <w:tc>
          <w:tcPr>
            <w:tcW w:w="59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"Центр Сертифікації Ключів "Україна"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вул. Фрунзе 102,  м. Київ, Киевская область , 04080 Україна тел.: 044 206 72 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тел. 206-72-31, факс 206-72-32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ЄДРПОУ 36865753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/р 26004450815000 в ПАТ "Укрсиббанк"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МФО 351005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інд. податковий  368657526561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свідоцтво платника ПДВ 200007487</w:t>
            </w:r>
          </w:p>
        </w:tc>
        <w:tc>
          <w:tcPr>
            <w:tcW w:w="1757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Бюджетно-ф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нансове управлiння виконавчого комiтету Полтавської мiської ради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ЄДРПОУ 02315340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вул. Соборності, 36, м. Полтава, 36000</w:t>
            </w:r>
          </w:p>
          <w:p w:rsidR="00860EF3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860EF3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860EF3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860EF3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</w:t>
            </w:r>
          </w:p>
          <w:p w:rsidR="00860EF3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860EF3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860EF3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860EF3" w:rsidRDefault="00860EF3" w:rsidP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860EF3" w:rsidRDefault="00860EF3" w:rsidP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860EF3" w:rsidRDefault="00860EF3" w:rsidP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860EF3" w:rsidRDefault="00860EF3" w:rsidP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860EF3" w:rsidRPr="00860EF3" w:rsidRDefault="00860EF3" w:rsidP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860EF3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860EF3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860EF3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860EF3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860EF3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860EF3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860EF3" w:rsidRPr="00860EF3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    </w:t>
            </w:r>
          </w:p>
        </w:tc>
        <w:tc>
          <w:tcPr>
            <w:tcW w:w="117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274"/>
        </w:trPr>
        <w:tc>
          <w:tcPr>
            <w:tcW w:w="11071" w:type="dxa"/>
            <w:gridSpan w:val="10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55"/>
        </w:trPr>
        <w:tc>
          <w:tcPr>
            <w:tcW w:w="59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Горбатько О.Г.</w:t>
            </w:r>
          </w:p>
        </w:tc>
        <w:tc>
          <w:tcPr>
            <w:tcW w:w="1757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_____________________________________________</w:t>
            </w:r>
          </w:p>
        </w:tc>
        <w:tc>
          <w:tcPr>
            <w:tcW w:w="117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3E0362">
        <w:trPr>
          <w:trHeight w:hRule="exact" w:val="219"/>
        </w:trPr>
        <w:tc>
          <w:tcPr>
            <w:tcW w:w="59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7" w:type="dxa"/>
          </w:tcPr>
          <w:p w:rsidR="003E0362" w:rsidRPr="00860EF3" w:rsidRDefault="003E0362" w:rsidP="00860EF3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rPr>
                <w:lang w:val="uk-UA"/>
              </w:rPr>
            </w:pPr>
          </w:p>
        </w:tc>
      </w:tr>
      <w:tr w:rsidR="003E0362">
        <w:trPr>
          <w:trHeight w:hRule="exact" w:val="55"/>
        </w:trPr>
        <w:tc>
          <w:tcPr>
            <w:tcW w:w="59" w:type="dxa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443" w:type="dxa"/>
            <w:gridSpan w:val="5"/>
          </w:tcPr>
          <w:p w:rsidR="003E0362" w:rsidRDefault="003E036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3E0362" w:rsidRDefault="003E0362"/>
    <w:sectPr w:rsidR="003E0362">
      <w:pgSz w:w="11926" w:h="16867"/>
      <w:pgMar w:top="568" w:right="568" w:bottom="568" w:left="8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20686C"/>
    <w:rsid w:val="003E0362"/>
    <w:rsid w:val="00571298"/>
    <w:rsid w:val="00860EF3"/>
    <w:rsid w:val="008E24D2"/>
    <w:rsid w:val="00B93633"/>
    <w:rsid w:val="00E6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22514</Words>
  <Characters>12833</Characters>
  <Application>Microsoft Office Word</Application>
  <DocSecurity>0</DocSecurity>
  <Lines>106</Lines>
  <Paragraphs>70</Paragraphs>
  <ScaleCrop>false</ScaleCrop>
  <Company/>
  <LinksUpToDate>false</LinksUpToDate>
  <CharactersWithSpaces>35277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Тетяна Авінерівна Кагамлик</cp:lastModifiedBy>
  <cp:revision>5</cp:revision>
  <dcterms:created xsi:type="dcterms:W3CDTF">2010-05-06T08:40:00Z</dcterms:created>
  <dcterms:modified xsi:type="dcterms:W3CDTF">2019-01-08T13:28:00Z</dcterms:modified>
</cp:coreProperties>
</file>