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F8C">
      <w:pPr>
        <w:pStyle w:val="a3"/>
        <w:jc w:val="center"/>
        <w:rPr>
          <w:sz w:val="27"/>
          <w:szCs w:val="27"/>
        </w:rPr>
      </w:pPr>
      <w:bookmarkStart w:id="0" w:name="_GoBack"/>
      <w:bookmarkEnd w:id="0"/>
      <w:r>
        <w:rPr>
          <w:b/>
          <w:bCs/>
          <w:sz w:val="27"/>
          <w:szCs w:val="27"/>
        </w:rPr>
        <w:t>ОДЕСЬКА ОБЛАСНА ДЕРЖАВНА АДМІНІСТРАЦІЯ</w:t>
      </w:r>
    </w:p>
    <w:p w:rsidR="00000000" w:rsidRDefault="00564F8C">
      <w:pPr>
        <w:pStyle w:val="a3"/>
        <w:jc w:val="center"/>
      </w:pPr>
      <w:r>
        <w:rPr>
          <w:b/>
          <w:bCs/>
        </w:rPr>
        <w:t>РОЗПОРЯДЖЕННЯ</w:t>
      </w:r>
    </w:p>
    <w:tbl>
      <w:tblPr>
        <w:tblW w:w="5000" w:type="pct"/>
        <w:jc w:val="center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801"/>
        <w:gridCol w:w="4898"/>
      </w:tblGrid>
      <w:tr w:rsidR="00000000">
        <w:trPr>
          <w:tblCellSpacing w:w="0" w:type="dxa"/>
          <w:jc w:val="center"/>
        </w:trPr>
        <w:tc>
          <w:tcPr>
            <w:tcW w:w="2450" w:type="pct"/>
            <w:hideMark/>
          </w:tcPr>
          <w:p w:rsidR="00000000" w:rsidRDefault="00564F8C">
            <w:pPr>
              <w:pStyle w:val="a3"/>
            </w:pPr>
            <w:r>
              <w:rPr>
                <w:b/>
                <w:bCs/>
                <w:sz w:val="27"/>
                <w:szCs w:val="27"/>
              </w:rPr>
              <w:t>05.01.2021</w:t>
            </w:r>
          </w:p>
        </w:tc>
        <w:tc>
          <w:tcPr>
            <w:tcW w:w="2500" w:type="pct"/>
            <w:hideMark/>
          </w:tcPr>
          <w:p w:rsidR="00000000" w:rsidRDefault="00564F8C">
            <w:pPr>
              <w:pStyle w:val="a3"/>
              <w:jc w:val="right"/>
            </w:pPr>
            <w:r>
              <w:rPr>
                <w:b/>
                <w:bCs/>
                <w:sz w:val="27"/>
                <w:szCs w:val="27"/>
              </w:rPr>
              <w:t>№ 2/од-2021</w:t>
            </w:r>
          </w:p>
        </w:tc>
      </w:tr>
    </w:tbl>
    <w:p w:rsidR="00000000" w:rsidRDefault="00564F8C">
      <w:pPr>
        <w:pStyle w:val="a3"/>
        <w:jc w:val="center"/>
      </w:pPr>
      <w:r>
        <w:br w:type="textWrapping" w:clear="all"/>
      </w:r>
    </w:p>
    <w:p w:rsidR="00000000" w:rsidRDefault="00564F8C">
      <w:pPr>
        <w:pStyle w:val="2"/>
        <w:jc w:val="center"/>
        <w:rPr>
          <w:rFonts w:eastAsia="Times New Roman"/>
        </w:rPr>
      </w:pPr>
      <w:r>
        <w:rPr>
          <w:rFonts w:eastAsia="Times New Roman"/>
        </w:rPr>
        <w:t>Про внесення змін до Регламенту Одеської обласної державної адміністрації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Відповідно до статті 45 Закону України «Про місцеві державні адміністрації»</w:t>
      </w:r>
      <w:r>
        <w:rPr>
          <w:sz w:val="27"/>
          <w:szCs w:val="27"/>
        </w:rPr>
        <w:t>, Типового регламенту місцевої державної адміністрації, затвердженого постановою Кабінету Міністрів України від 11 грудня 1999 року № 2263, з метою удосконалення роботи щодо підготовки розпорядчих актів в обласній державній адміністрації: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внести до Регламе</w:t>
      </w:r>
      <w:r>
        <w:rPr>
          <w:sz w:val="27"/>
          <w:szCs w:val="27"/>
        </w:rPr>
        <w:t xml:space="preserve">нту Одеської обласної державної адміністрації, затвердженого розпорядженням голови Одеської обласної державної адміністрації від 28 квітня 2017 року № 360/А-2017 (далі – Регламент), такі зміни: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Пункт 10.4. Регламенту викласти в такій редакції: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«10.4. Проє</w:t>
      </w:r>
      <w:r>
        <w:rPr>
          <w:sz w:val="27"/>
          <w:szCs w:val="27"/>
        </w:rPr>
        <w:t>кти розпоряджень підлягають обов’язковому погодженню із заінтересованими структурними підрозділами облдержадміністрації, а у разі потреби - з іншими органами, установами, підприємствами, організаціями.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У разі, коли проєкт розпорядження стосується розвитку </w:t>
      </w:r>
      <w:r>
        <w:rPr>
          <w:sz w:val="27"/>
          <w:szCs w:val="27"/>
        </w:rPr>
        <w:t>конкретної адміністративно-територіальної одиниці або інтересів окремої територіальної громади, такий проєкт надсилається відповідному органу місцевого самоврядування для розгляду і внесення пропозицій.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Проєкти розпоряджень голови облдержадміністрації, які</w:t>
      </w:r>
      <w:r>
        <w:rPr>
          <w:sz w:val="27"/>
          <w:szCs w:val="27"/>
        </w:rPr>
        <w:t xml:space="preserve"> стосуються фінансових питань, обов’язково потребують погодження Департаменту фінансів Одеської обласної державної адміністрації та за результатами розгляду візуються директором Департаменту фінансів Одеської обласної державної адміністрації.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Проєкти розп</w:t>
      </w:r>
      <w:r>
        <w:rPr>
          <w:sz w:val="27"/>
          <w:szCs w:val="27"/>
        </w:rPr>
        <w:t>оряджень голови обласної державної адміністрації, які стосуються фінансових питань у частині виділення коштів на закупівлю товарів, робіт та послуг, обов’язково потребують погодження Департаменту економічної політики та стратегічного планування Одеської об</w:t>
      </w:r>
      <w:r>
        <w:rPr>
          <w:sz w:val="27"/>
          <w:szCs w:val="27"/>
        </w:rPr>
        <w:t>ласної державної адміністрації та за результатами розгляду візуються директором Департаменту економічної політики та стратегічного планування Одеської обласної державної адміністрації.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Структурні підрозділи обласної державної адміністрації перед оголошення</w:t>
      </w:r>
      <w:r>
        <w:rPr>
          <w:sz w:val="27"/>
          <w:szCs w:val="27"/>
        </w:rPr>
        <w:t xml:space="preserve">м процедури закупівель узгоджують з Департаментом економічної політики та стратегічного планування Одеської обласної державної адміністрації технічне завдання (специфікацію) та очікувану вартість закупівлі».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>Проєкти розпоряджень (а з кадрових питань – лиш</w:t>
      </w:r>
      <w:r>
        <w:rPr>
          <w:sz w:val="27"/>
          <w:szCs w:val="27"/>
        </w:rPr>
        <w:t xml:space="preserve">е ті, що стосуються призначення на відповідні посади) підлягають перевірці на відповідність антикорупційному законодавству, яка здійснюється сектором запобігання та виявлення корупції облдержадміністрації.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Головний розробник визначає заінтересовані структ</w:t>
      </w:r>
      <w:r>
        <w:rPr>
          <w:sz w:val="27"/>
          <w:szCs w:val="27"/>
        </w:rPr>
        <w:t xml:space="preserve">урні підрозділи облдержадміністрації, її апарату та інші органи, виходячи із змісту основних положень проєкту розпорядження. Під час погодження проєкту розпорядження юридичне управління апарату облдержадміністрації у разі необхідності також може визначати </w:t>
      </w:r>
      <w:r>
        <w:rPr>
          <w:sz w:val="27"/>
          <w:szCs w:val="27"/>
        </w:rPr>
        <w:t xml:space="preserve">інших осіб, які мають погоджувати проєкт.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Головний розробник організовує, спрямовує і координує роботу заінтересованих структурних підрозділів облдержадміністрації, підрозділів її апарату та інших органів з розроблення проєкту розпорядження, вживає вичерпних заходів для врегулювання розбіжностей у</w:t>
      </w:r>
      <w:r>
        <w:rPr>
          <w:sz w:val="27"/>
          <w:szCs w:val="27"/>
        </w:rPr>
        <w:t xml:space="preserve"> їх позиціях щодо проєкту (проводить консультації, узгоджувальні наради, робочі зустрічі тощо), отримує від них інформаційно-аналітичні та інші необхідні матеріали.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Заінтересовані структурні підрозділи облдержадміністрації, підрозділи її апарату та інші ор</w:t>
      </w:r>
      <w:r>
        <w:rPr>
          <w:sz w:val="27"/>
          <w:szCs w:val="27"/>
        </w:rPr>
        <w:t xml:space="preserve">гани за зверненням головного розробника у визначений ним строк беруть участь в опрацюванні та погодженні проєкту розпорядження.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Проєкти розпоряджень погоджуються шляхом їх візування працівником, який утворив документ, керівником або іншою уповноваженою ос</w:t>
      </w:r>
      <w:r>
        <w:rPr>
          <w:sz w:val="27"/>
          <w:szCs w:val="27"/>
        </w:rPr>
        <w:t>обою юридичної служби головного розробника (за наявності), керівником структурного підрозділу облдержадміністрації, іншого органу, підприємства, установи, організації, яким його утворено, керівниками структурних підрозділів облдержадміністрації, інших орга</w:t>
      </w:r>
      <w:r>
        <w:rPr>
          <w:sz w:val="27"/>
          <w:szCs w:val="27"/>
        </w:rPr>
        <w:t>нів, підприємств, установ, організацій, які визначені головним розробником як заінтересовані, завідувачем сектору запобігання та виявлення корупції облдержадміністрації, начальником юридичного управління апарату облдержадміністрації, працівником управління</w:t>
      </w:r>
      <w:r>
        <w:rPr>
          <w:sz w:val="27"/>
          <w:szCs w:val="27"/>
        </w:rPr>
        <w:t xml:space="preserve"> діловодства та контролю апарату облдержадміністрації, відповідальним за опрацювання проєкту розпорядження голови обласної державної адміністрації на відповідність нормам українського правопису, керівником апарату облдержадміністрації, заступниками голови </w:t>
      </w:r>
      <w:r>
        <w:rPr>
          <w:sz w:val="27"/>
          <w:szCs w:val="27"/>
        </w:rPr>
        <w:t xml:space="preserve">облдержадміністрації згідно з розподілом обов’язків. При цьому зазначається посада, ініціали і прізвище особи, яка візує проєкт розпорядження та додатки до нього, а також дата візування.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Додатки до проєктів розпоряджень візуються працівником, який розроби</w:t>
      </w:r>
      <w:r>
        <w:rPr>
          <w:sz w:val="27"/>
          <w:szCs w:val="27"/>
        </w:rPr>
        <w:t>в проєкт розпорядження, та керівними працівниками самостійного структурного підрозділу, яким він підпорядкований, згідно з внутрішнім порядком погодження документів структурного підрозділу облдержадміністрації – головного розробника проєкту розпорядження.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Проєкти розпоряджень голови облдержадміністрації, які розробляються на виконання актів законодавства та доручень Прем'єр-міністра України, погоджуються не пізніше, ніж у дводенний строк після їх подання головним розробником.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>Якщо заінтересовані структурні</w:t>
      </w:r>
      <w:r>
        <w:rPr>
          <w:sz w:val="27"/>
          <w:szCs w:val="27"/>
        </w:rPr>
        <w:t xml:space="preserve"> підрозділи облдержадміністрації, її апарату та інші органи не висловили своєї позиції щодо проєкту розпорядження у визначений головним розробником строк, такий проєкт вважається погодженим без зауважень. </w:t>
      </w:r>
    </w:p>
    <w:p w:rsidR="00000000" w:rsidRDefault="00564F8C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Копії документів погодження проєкту розпорядження </w:t>
      </w:r>
      <w:r>
        <w:rPr>
          <w:sz w:val="27"/>
          <w:szCs w:val="27"/>
        </w:rPr>
        <w:t xml:space="preserve">зберігаються в архівних справах головного розробника. </w:t>
      </w:r>
    </w:p>
    <w:p w:rsidR="00000000" w:rsidRDefault="00564F8C">
      <w:pPr>
        <w:pStyle w:val="a3"/>
        <w:jc w:val="both"/>
      </w:pPr>
      <w:r>
        <w:rPr>
          <w:sz w:val="27"/>
          <w:szCs w:val="27"/>
        </w:rPr>
        <w:t>За результатами погодження проєкту розпорядження заінтересовані структурні підрозділи облдержадміністрації, підрозділи її апарату, інші органи можуть висловити письмові зауваження та пропозиції, які до</w:t>
      </w:r>
      <w:r>
        <w:rPr>
          <w:sz w:val="27"/>
          <w:szCs w:val="27"/>
        </w:rPr>
        <w:t>лучаються до проєкту незалежно від їх врахування головним розробником».</w:t>
      </w:r>
    </w:p>
    <w:tbl>
      <w:tblPr>
        <w:tblW w:w="5000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893"/>
        <w:gridCol w:w="4894"/>
      </w:tblGrid>
      <w:tr w:rsidR="00000000">
        <w:trPr>
          <w:tblCellSpacing w:w="22" w:type="dxa"/>
        </w:trPr>
        <w:tc>
          <w:tcPr>
            <w:tcW w:w="2450" w:type="pct"/>
            <w:vAlign w:val="center"/>
            <w:hideMark/>
          </w:tcPr>
          <w:p w:rsidR="00000000" w:rsidRDefault="00564F8C">
            <w:pPr>
              <w:pStyle w:val="a3"/>
              <w:jc w:val="center"/>
            </w:pPr>
            <w:r>
              <w:rPr>
                <w:b/>
                <w:bCs/>
                <w:sz w:val="27"/>
                <w:szCs w:val="27"/>
              </w:rPr>
              <w:t xml:space="preserve">Голова </w:t>
            </w:r>
          </w:p>
        </w:tc>
        <w:tc>
          <w:tcPr>
            <w:tcW w:w="2450" w:type="pct"/>
            <w:vAlign w:val="center"/>
            <w:hideMark/>
          </w:tcPr>
          <w:p w:rsidR="00000000" w:rsidRDefault="00564F8C">
            <w:pPr>
              <w:pStyle w:val="a3"/>
              <w:jc w:val="center"/>
            </w:pPr>
            <w:r>
              <w:rPr>
                <w:b/>
                <w:bCs/>
                <w:sz w:val="27"/>
                <w:szCs w:val="27"/>
              </w:rPr>
              <w:t>Сергій ГРИНЕВЕЦЬКИЙ</w:t>
            </w:r>
          </w:p>
        </w:tc>
      </w:tr>
    </w:tbl>
    <w:p w:rsidR="00000000" w:rsidRDefault="00564F8C">
      <w:pPr>
        <w:pStyle w:val="a3"/>
        <w:jc w:val="both"/>
      </w:pPr>
      <w:r>
        <w:br w:type="textWrapping" w:clear="all"/>
      </w:r>
    </w:p>
    <w:p w:rsidR="00000000" w:rsidRDefault="00564F8C">
      <w:pPr>
        <w:pStyle w:val="a3"/>
        <w:jc w:val="both"/>
      </w:pPr>
      <w:r>
        <w:rPr>
          <w:sz w:val="27"/>
          <w:szCs w:val="27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4"/>
        <w:gridCol w:w="1185"/>
      </w:tblGrid>
      <w:tr w:rsidR="00000000">
        <w:trPr>
          <w:tblCellSpacing w:w="15" w:type="dxa"/>
        </w:trPr>
        <w:tc>
          <w:tcPr>
            <w:tcW w:w="4500" w:type="pct"/>
            <w:vAlign w:val="center"/>
            <w:hideMark/>
          </w:tcPr>
          <w:p w:rsidR="00000000" w:rsidRDefault="00564F8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© ТОВ "Інформаційно-аналітичний центр "ЛІГА", 2021</w:t>
            </w:r>
            <w:r>
              <w:rPr>
                <w:rFonts w:eastAsia="Times New Roman"/>
              </w:rPr>
              <w:br/>
              <w:t>© ТОВ "ЛІГА ЗАКОН", 2021</w:t>
            </w:r>
          </w:p>
        </w:tc>
        <w:tc>
          <w:tcPr>
            <w:tcW w:w="500" w:type="pct"/>
            <w:vAlign w:val="center"/>
            <w:hideMark/>
          </w:tcPr>
          <w:p w:rsidR="00000000" w:rsidRDefault="00564F8C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695325" cy="314325"/>
                  <wp:effectExtent l="0" t="0" r="9525" b="9525"/>
                  <wp:docPr id="1" name="Рисунок 1" descr="C:\Users\tzybenko\AppData\Roaming\Liga70\Client\Session\LOGOTYPE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zybenko\AppData\Roaming\Liga70\Client\Session\LOGOTYPE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64F8C" w:rsidRDefault="00564F8C">
      <w:pPr>
        <w:rPr>
          <w:rFonts w:eastAsia="Times New Roman"/>
        </w:rPr>
      </w:pPr>
    </w:p>
    <w:sectPr w:rsidR="00564F8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4"/>
  <w:defaultTabStop w:val="708"/>
  <w:hyphenationZone w:val="425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811"/>
    <w:rsid w:val="00564F8C"/>
    <w:rsid w:val="00810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C:\Users\tzybenko\AppData\Roaming\Liga70\Client\Session\LOGOTYPE.BM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3714</Words>
  <Characters>2118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Про внесення змін до Регламенту Одеської обласної державної адміністрації</vt:lpstr>
    </vt:vector>
  </TitlesOfParts>
  <Company/>
  <LinksUpToDate>false</LinksUpToDate>
  <CharactersWithSpaces>5821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tzybenko</dc:creator>
  <cp:lastModifiedBy>tzybenko</cp:lastModifiedBy>
  <cp:revision>2</cp:revision>
  <dcterms:created xsi:type="dcterms:W3CDTF">2021-03-15T11:42:00Z</dcterms:created>
  <dcterms:modified xsi:type="dcterms:W3CDTF">2021-03-15T11:42:00Z</dcterms:modified>
</cp:coreProperties>
</file>