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Default="00F84E7B">
      <w:pPr>
        <w:pStyle w:val="a3"/>
      </w:pPr>
      <w:r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Default="00AC4A74">
      <w:pPr>
        <w:pStyle w:val="a3"/>
        <w:rPr>
          <w:b/>
          <w:sz w:val="24"/>
          <w:szCs w:val="24"/>
        </w:rPr>
      </w:pPr>
    </w:p>
    <w:p w:rsidR="00AC4A74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ЛУБЕНСЬКА МІСЬКА РАДА</w:t>
      </w:r>
    </w:p>
    <w:p w:rsidR="00AC4A74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ЛУБЕНСЬКОГО РАЙОНУ</w:t>
      </w:r>
    </w:p>
    <w:p w:rsidR="00AC4A74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ПОЛТАВСЬКОЇ ОБЛАСТІ</w:t>
      </w:r>
    </w:p>
    <w:p w:rsidR="00AC4A74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3A530B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3A530B">
        <w:rPr>
          <w:b/>
          <w:color w:val="000000"/>
          <w:sz w:val="28"/>
          <w:szCs w:val="28"/>
          <w:lang w:val="uk-UA"/>
        </w:rPr>
        <w:t>восьма</w:t>
      </w:r>
      <w:r w:rsidR="003A530B" w:rsidRPr="00545873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сесія</w:t>
      </w:r>
      <w:proofErr w:type="spellEnd"/>
      <w:r>
        <w:rPr>
          <w:b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color w:val="000000"/>
          <w:sz w:val="28"/>
          <w:szCs w:val="28"/>
        </w:rPr>
        <w:t>скликання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AC4A74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AC4A74" w:rsidRDefault="003A530B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3A530B" w:rsidRDefault="003A530B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A54A48" w:rsidRPr="00A54A48" w:rsidRDefault="00F84E7B" w:rsidP="00A54A48">
      <w:pPr>
        <w:rPr>
          <w:b/>
          <w:sz w:val="28"/>
          <w:szCs w:val="28"/>
          <w:lang w:val="uk-UA"/>
        </w:rPr>
      </w:pPr>
      <w:r w:rsidRPr="00175BBD">
        <w:rPr>
          <w:b/>
          <w:sz w:val="28"/>
          <w:szCs w:val="28"/>
          <w:lang w:val="uk-UA"/>
        </w:rPr>
        <w:t xml:space="preserve">Про  </w:t>
      </w:r>
      <w:r w:rsidR="00A54A48" w:rsidRPr="00A54A48">
        <w:rPr>
          <w:b/>
          <w:sz w:val="28"/>
          <w:szCs w:val="28"/>
          <w:lang w:val="uk-UA"/>
        </w:rPr>
        <w:t xml:space="preserve">внесення змін до </w:t>
      </w:r>
    </w:p>
    <w:p w:rsidR="00A54A48" w:rsidRPr="00A54A48" w:rsidRDefault="00A54A48" w:rsidP="00A54A48">
      <w:pPr>
        <w:rPr>
          <w:b/>
          <w:sz w:val="28"/>
          <w:szCs w:val="28"/>
          <w:lang w:val="uk-UA"/>
        </w:rPr>
      </w:pPr>
      <w:r w:rsidRPr="00A54A48">
        <w:rPr>
          <w:b/>
          <w:sz w:val="28"/>
          <w:szCs w:val="28"/>
          <w:lang w:val="uk-UA"/>
        </w:rPr>
        <w:t xml:space="preserve">Генерального плану з планом зонування </w:t>
      </w:r>
    </w:p>
    <w:p w:rsidR="00A54A48" w:rsidRPr="00A54A48" w:rsidRDefault="00A54A48" w:rsidP="00A54A48">
      <w:pPr>
        <w:rPr>
          <w:b/>
          <w:sz w:val="28"/>
          <w:szCs w:val="28"/>
          <w:lang w:val="uk-UA"/>
        </w:rPr>
      </w:pPr>
      <w:r w:rsidRPr="00A54A48">
        <w:rPr>
          <w:b/>
          <w:sz w:val="28"/>
          <w:szCs w:val="28"/>
          <w:lang w:val="uk-UA"/>
        </w:rPr>
        <w:t xml:space="preserve">території </w:t>
      </w:r>
      <w:proofErr w:type="spellStart"/>
      <w:r w:rsidRPr="00A54A48">
        <w:rPr>
          <w:b/>
          <w:sz w:val="28"/>
          <w:szCs w:val="28"/>
          <w:lang w:val="uk-UA"/>
        </w:rPr>
        <w:t>с.Засулля</w:t>
      </w:r>
      <w:proofErr w:type="spellEnd"/>
      <w:r w:rsidRPr="00A54A48">
        <w:rPr>
          <w:b/>
          <w:sz w:val="16"/>
          <w:szCs w:val="16"/>
          <w:lang w:val="uk-UA"/>
        </w:rPr>
        <w:t xml:space="preserve"> </w:t>
      </w:r>
      <w:r w:rsidRPr="00A54A48">
        <w:rPr>
          <w:b/>
          <w:sz w:val="28"/>
          <w:szCs w:val="28"/>
          <w:lang w:val="uk-UA"/>
        </w:rPr>
        <w:t xml:space="preserve">Лубенського району </w:t>
      </w:r>
    </w:p>
    <w:p w:rsidR="00AC4A74" w:rsidRDefault="00A54A48" w:rsidP="00A54A48">
      <w:pPr>
        <w:rPr>
          <w:sz w:val="28"/>
          <w:szCs w:val="28"/>
          <w:lang w:val="uk-UA"/>
        </w:rPr>
      </w:pPr>
      <w:r w:rsidRPr="00A54A48">
        <w:rPr>
          <w:b/>
          <w:sz w:val="28"/>
          <w:szCs w:val="28"/>
          <w:lang w:val="uk-UA"/>
        </w:rPr>
        <w:t>Полтавської області</w:t>
      </w:r>
    </w:p>
    <w:p w:rsidR="00A54A48" w:rsidRDefault="00A54A48" w:rsidP="00A54A48"/>
    <w:p w:rsidR="00AC4A74" w:rsidRPr="00175BBD" w:rsidRDefault="00F84E7B">
      <w:pPr>
        <w:ind w:firstLine="851"/>
        <w:jc w:val="both"/>
        <w:rPr>
          <w:b/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     З метою визначення довгострокової стратегії планування та забудови населених пунктів Лубенської громади та з метою раціонального використання земель, створення належних умов для життєзабезпечення населення та залученням інвестицій в громаду, керуючись ст. 17 Закону України «Про  регулювання  містобудівної діяльності»,</w:t>
      </w:r>
      <w:r w:rsidRPr="00175BBD">
        <w:rPr>
          <w:lang w:val="uk-UA"/>
        </w:rPr>
        <w:t xml:space="preserve"> </w:t>
      </w:r>
      <w:r w:rsidRPr="00175BBD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175BBD">
        <w:rPr>
          <w:sz w:val="32"/>
          <w:szCs w:val="32"/>
          <w:lang w:val="uk-UA"/>
        </w:rPr>
        <w:t xml:space="preserve"> </w:t>
      </w:r>
      <w:r w:rsidRPr="00175BBD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175BBD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>
      <w:pPr>
        <w:spacing w:line="260" w:lineRule="auto"/>
        <w:ind w:left="360"/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 </w:t>
      </w:r>
      <w:proofErr w:type="spellStart"/>
      <w:proofErr w:type="gramStart"/>
      <w:r>
        <w:rPr>
          <w:b/>
          <w:color w:val="000000"/>
          <w:sz w:val="28"/>
          <w:szCs w:val="28"/>
        </w:rPr>
        <w:t>вирішила</w:t>
      </w:r>
      <w:proofErr w:type="spellEnd"/>
      <w:r>
        <w:rPr>
          <w:b/>
          <w:color w:val="000000"/>
          <w:sz w:val="28"/>
          <w:szCs w:val="28"/>
        </w:rPr>
        <w:t xml:space="preserve"> :</w:t>
      </w:r>
      <w:proofErr w:type="gramEnd"/>
    </w:p>
    <w:p w:rsidR="00AC4A74" w:rsidRPr="00175BBD" w:rsidRDefault="00A54A48" w:rsidP="00175BBD">
      <w:pPr>
        <w:tabs>
          <w:tab w:val="left" w:pos="1418"/>
        </w:tabs>
        <w:spacing w:before="240"/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84E7B" w:rsidRPr="00175BBD">
        <w:rPr>
          <w:sz w:val="28"/>
          <w:szCs w:val="28"/>
          <w:lang w:val="uk-UA"/>
        </w:rPr>
        <w:t xml:space="preserve">. Дозволити виконавчому комітету Лубенської міської ради </w:t>
      </w:r>
      <w:proofErr w:type="spellStart"/>
      <w:r w:rsidR="00175BBD" w:rsidRPr="00175BBD">
        <w:rPr>
          <w:sz w:val="28"/>
          <w:szCs w:val="28"/>
          <w:lang w:val="uk-UA"/>
        </w:rPr>
        <w:t>внести</w:t>
      </w:r>
      <w:proofErr w:type="spellEnd"/>
      <w:r w:rsidR="00175BBD" w:rsidRPr="00175BBD">
        <w:rPr>
          <w:sz w:val="28"/>
          <w:szCs w:val="28"/>
          <w:lang w:val="uk-UA"/>
        </w:rPr>
        <w:t xml:space="preserve"> зміни до Г</w:t>
      </w:r>
      <w:r w:rsidR="00F84E7B" w:rsidRPr="00175BBD">
        <w:rPr>
          <w:sz w:val="28"/>
          <w:szCs w:val="28"/>
          <w:lang w:val="uk-UA"/>
        </w:rPr>
        <w:t>енерального</w:t>
      </w:r>
      <w:r w:rsidR="00175BBD" w:rsidRPr="00175BBD">
        <w:rPr>
          <w:sz w:val="28"/>
          <w:szCs w:val="28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>плану</w:t>
      </w:r>
      <w:r w:rsidR="004D00AE" w:rsidRPr="004D00AE">
        <w:rPr>
          <w:sz w:val="28"/>
          <w:szCs w:val="28"/>
          <w:lang w:val="uk-UA"/>
        </w:rPr>
        <w:t xml:space="preserve"> </w:t>
      </w:r>
      <w:r w:rsidR="004D00AE">
        <w:rPr>
          <w:sz w:val="28"/>
          <w:szCs w:val="28"/>
          <w:lang w:val="uk-UA"/>
        </w:rPr>
        <w:t>з планом зонування території</w:t>
      </w:r>
      <w:r w:rsidR="00F84E7B" w:rsidRPr="00175BBD">
        <w:rPr>
          <w:sz w:val="28"/>
          <w:szCs w:val="28"/>
          <w:lang w:val="uk-UA"/>
        </w:rPr>
        <w:t xml:space="preserve"> </w:t>
      </w:r>
      <w:proofErr w:type="spellStart"/>
      <w:r w:rsidR="00F84E7B" w:rsidRPr="00175BBD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Засулля</w:t>
      </w:r>
      <w:proofErr w:type="spellEnd"/>
      <w:r w:rsidR="00F84E7B" w:rsidRPr="00175BBD">
        <w:rPr>
          <w:b/>
          <w:sz w:val="16"/>
          <w:szCs w:val="16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>Лубенського району Полтавської області.</w:t>
      </w:r>
    </w:p>
    <w:p w:rsidR="00AC4A74" w:rsidRPr="00175BBD" w:rsidRDefault="00A54A48" w:rsidP="00175BBD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84E7B" w:rsidRPr="00175BBD">
        <w:rPr>
          <w:sz w:val="28"/>
          <w:szCs w:val="28"/>
          <w:lang w:val="uk-UA"/>
        </w:rPr>
        <w:t xml:space="preserve">.1 </w:t>
      </w:r>
      <w:r w:rsidR="00F84E7B" w:rsidRPr="00175BBD">
        <w:rPr>
          <w:color w:val="000000"/>
          <w:sz w:val="28"/>
          <w:szCs w:val="28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>Виконавчому комітету Лубенської міської ради</w:t>
      </w:r>
      <w:r w:rsidRPr="00A54A48">
        <w:rPr>
          <w:sz w:val="28"/>
          <w:szCs w:val="28"/>
          <w:lang w:val="uk-UA"/>
        </w:rPr>
        <w:t xml:space="preserve"> </w:t>
      </w:r>
      <w:r w:rsidRPr="00175BBD">
        <w:rPr>
          <w:sz w:val="28"/>
          <w:szCs w:val="28"/>
          <w:lang w:val="uk-UA"/>
        </w:rPr>
        <w:t xml:space="preserve">Лубенської міської ради </w:t>
      </w:r>
      <w:r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F84E7B" w:rsidRPr="00175BBD">
        <w:rPr>
          <w:sz w:val="28"/>
          <w:szCs w:val="28"/>
          <w:lang w:val="uk-UA"/>
        </w:rPr>
        <w:t xml:space="preserve"> забезпечити збір вихідних даних для внесення змін до  містобудівної документації, попередній розгляд матеріалів містобудівної документації, проведення громадських слухань</w:t>
      </w:r>
      <w:r w:rsidR="00EB294F">
        <w:rPr>
          <w:sz w:val="28"/>
          <w:szCs w:val="28"/>
          <w:lang w:val="uk-UA"/>
        </w:rPr>
        <w:t>.</w:t>
      </w:r>
      <w:r w:rsidR="00F84E7B" w:rsidRPr="00175BBD">
        <w:rPr>
          <w:sz w:val="28"/>
          <w:szCs w:val="28"/>
          <w:lang w:val="uk-UA"/>
        </w:rPr>
        <w:t xml:space="preserve"> </w:t>
      </w:r>
      <w:r w:rsidR="00EB294F">
        <w:rPr>
          <w:sz w:val="28"/>
          <w:szCs w:val="28"/>
          <w:lang w:val="uk-UA"/>
        </w:rPr>
        <w:t>В</w:t>
      </w:r>
      <w:r w:rsidR="00F84E7B" w:rsidRPr="00175BBD">
        <w:rPr>
          <w:sz w:val="28"/>
          <w:szCs w:val="28"/>
          <w:lang w:val="uk-UA"/>
        </w:rPr>
        <w:t>иготовлену містобудівну документацію п</w:t>
      </w:r>
      <w:r w:rsidR="00EB294F">
        <w:rPr>
          <w:sz w:val="28"/>
          <w:szCs w:val="28"/>
          <w:lang w:val="uk-UA"/>
        </w:rPr>
        <w:t>одати на затвердження Лубенській міській раді</w:t>
      </w:r>
      <w:r w:rsidR="00F84E7B" w:rsidRPr="00175BBD">
        <w:rPr>
          <w:sz w:val="28"/>
          <w:szCs w:val="28"/>
          <w:lang w:val="uk-UA"/>
        </w:rPr>
        <w:t>.</w:t>
      </w:r>
    </w:p>
    <w:p w:rsidR="007F3FD1" w:rsidRDefault="00A54A48" w:rsidP="007F3FD1">
      <w:pPr>
        <w:tabs>
          <w:tab w:val="left" w:pos="1418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84E7B" w:rsidRPr="00175BBD">
        <w:rPr>
          <w:sz w:val="28"/>
          <w:szCs w:val="28"/>
          <w:lang w:val="uk-UA"/>
        </w:rPr>
        <w:t xml:space="preserve">.2 Фінансування робіт </w:t>
      </w:r>
      <w:r w:rsidR="00B22511">
        <w:rPr>
          <w:sz w:val="28"/>
          <w:szCs w:val="28"/>
          <w:lang w:val="uk-UA"/>
        </w:rPr>
        <w:t>і</w:t>
      </w:r>
      <w:r w:rsidR="00F84E7B" w:rsidRPr="00175BBD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внесення змін</w:t>
      </w:r>
      <w:r w:rsidR="006F5447">
        <w:rPr>
          <w:sz w:val="28"/>
          <w:szCs w:val="28"/>
          <w:lang w:val="uk-UA"/>
        </w:rPr>
        <w:t xml:space="preserve"> до </w:t>
      </w:r>
      <w:r w:rsidR="00F84E7B" w:rsidRPr="00175BBD">
        <w:rPr>
          <w:sz w:val="28"/>
          <w:szCs w:val="28"/>
          <w:lang w:val="uk-UA"/>
        </w:rPr>
        <w:t xml:space="preserve"> генерального плану та плану зонування території</w:t>
      </w:r>
      <w:r w:rsidR="00F84E7B">
        <w:rPr>
          <w:sz w:val="23"/>
          <w:szCs w:val="23"/>
          <w:shd w:val="clear" w:color="auto" w:fill="F6F6F6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>с</w:t>
      </w:r>
      <w:r w:rsidR="004D00AE">
        <w:rPr>
          <w:sz w:val="28"/>
          <w:szCs w:val="28"/>
          <w:lang w:val="uk-UA"/>
        </w:rPr>
        <w:t>.</w:t>
      </w:r>
      <w:r w:rsidR="00F84E7B" w:rsidRPr="00175B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Засулля</w:t>
      </w:r>
      <w:proofErr w:type="spellEnd"/>
      <w:r w:rsidR="00F84E7B" w:rsidRPr="00175BBD">
        <w:rPr>
          <w:sz w:val="28"/>
          <w:szCs w:val="28"/>
          <w:lang w:val="uk-UA"/>
        </w:rPr>
        <w:t xml:space="preserve"> здійснити за </w:t>
      </w:r>
      <w:r w:rsidR="007F3FD1">
        <w:rPr>
          <w:sz w:val="28"/>
          <w:szCs w:val="28"/>
          <w:lang w:val="uk-UA"/>
        </w:rPr>
        <w:t xml:space="preserve"> </w:t>
      </w:r>
      <w:r w:rsidR="007F3FD1" w:rsidRPr="00B77A2A">
        <w:rPr>
          <w:sz w:val="28"/>
          <w:shd w:val="clear" w:color="auto" w:fill="FFFFFF"/>
          <w:lang w:val="uk-UA"/>
        </w:rPr>
        <w:t xml:space="preserve"> рахунок коштів </w:t>
      </w:r>
      <w:r w:rsidR="007F3FD1">
        <w:rPr>
          <w:sz w:val="28"/>
          <w:shd w:val="clear" w:color="auto" w:fill="FFFFFF"/>
          <w:lang w:val="uk-UA"/>
        </w:rPr>
        <w:t>місцевого бюджету</w:t>
      </w:r>
      <w:r w:rsidR="007F3FD1" w:rsidRPr="00B77A2A">
        <w:rPr>
          <w:sz w:val="28"/>
          <w:shd w:val="clear" w:color="auto" w:fill="FFFFFF"/>
          <w:lang w:val="uk-UA"/>
        </w:rPr>
        <w:t>, коштів міжнародної технічної та/або фінансової допомоги, у тому числі у вигляді грантів</w:t>
      </w:r>
      <w:r w:rsidR="007F3FD1" w:rsidRPr="00B77A2A">
        <w:rPr>
          <w:color w:val="333333"/>
          <w:shd w:val="clear" w:color="auto" w:fill="FFFFFF"/>
          <w:lang w:val="uk-UA"/>
        </w:rPr>
        <w:t>.</w:t>
      </w:r>
    </w:p>
    <w:p w:rsidR="00AC4A74" w:rsidRPr="00175BBD" w:rsidRDefault="00034491" w:rsidP="00034491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>2</w:t>
      </w:r>
      <w:r w:rsidR="00F84E7B" w:rsidRPr="00175BBD">
        <w:rPr>
          <w:sz w:val="28"/>
          <w:szCs w:val="28"/>
          <w:lang w:val="uk-UA"/>
        </w:rPr>
        <w:t xml:space="preserve">. Організацію виконання рішення покласти на </w:t>
      </w:r>
      <w:r w:rsidR="00B22511">
        <w:rPr>
          <w:sz w:val="28"/>
          <w:szCs w:val="28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 xml:space="preserve"> відділ</w:t>
      </w:r>
      <w:r w:rsidR="00B22511">
        <w:rPr>
          <w:sz w:val="28"/>
          <w:szCs w:val="28"/>
          <w:lang w:val="uk-UA"/>
        </w:rPr>
        <w:t xml:space="preserve"> </w:t>
      </w:r>
      <w:r w:rsidR="00F84E7B" w:rsidRPr="00175BBD">
        <w:rPr>
          <w:sz w:val="28"/>
          <w:szCs w:val="28"/>
          <w:lang w:val="uk-UA"/>
        </w:rPr>
        <w:t xml:space="preserve"> містобудування та архітектури виконавчого комітету Лубенської міської ради </w:t>
      </w:r>
      <w:r w:rsidR="00B22511">
        <w:rPr>
          <w:sz w:val="28"/>
          <w:szCs w:val="28"/>
          <w:lang w:val="uk-UA"/>
        </w:rPr>
        <w:t>(начальник</w:t>
      </w:r>
      <w:r w:rsidR="00F84E7B" w:rsidRPr="00175BBD">
        <w:rPr>
          <w:sz w:val="28"/>
          <w:szCs w:val="28"/>
          <w:lang w:val="uk-UA"/>
        </w:rPr>
        <w:t xml:space="preserve"> </w:t>
      </w:r>
      <w:proofErr w:type="spellStart"/>
      <w:r w:rsidR="00F84E7B" w:rsidRPr="00175BBD">
        <w:rPr>
          <w:sz w:val="28"/>
          <w:szCs w:val="28"/>
          <w:lang w:val="uk-UA"/>
        </w:rPr>
        <w:t>Шмонденк</w:t>
      </w:r>
      <w:r w:rsidR="00B22511">
        <w:rPr>
          <w:sz w:val="28"/>
          <w:szCs w:val="28"/>
          <w:lang w:val="uk-UA"/>
        </w:rPr>
        <w:t>о</w:t>
      </w:r>
      <w:proofErr w:type="spellEnd"/>
      <w:r w:rsidR="00F84E7B" w:rsidRPr="00175BBD">
        <w:rPr>
          <w:sz w:val="28"/>
          <w:szCs w:val="28"/>
          <w:lang w:val="uk-UA"/>
        </w:rPr>
        <w:t xml:space="preserve"> А.Г.</w:t>
      </w:r>
      <w:r w:rsidR="00B22511">
        <w:rPr>
          <w:sz w:val="28"/>
          <w:szCs w:val="28"/>
          <w:lang w:val="uk-UA"/>
        </w:rPr>
        <w:t>)</w:t>
      </w:r>
    </w:p>
    <w:p w:rsidR="00AC4A74" w:rsidRPr="00175BBD" w:rsidRDefault="00034491" w:rsidP="00175BBD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418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4E7B" w:rsidRPr="00175BBD">
        <w:rPr>
          <w:sz w:val="28"/>
          <w:szCs w:val="28"/>
          <w:lang w:val="uk-UA"/>
        </w:rPr>
        <w:t xml:space="preserve">. </w:t>
      </w:r>
      <w:r w:rsidR="00F84E7B" w:rsidRPr="00175BBD">
        <w:rPr>
          <w:color w:val="000000"/>
          <w:sz w:val="28"/>
          <w:szCs w:val="28"/>
          <w:lang w:val="uk-UA"/>
        </w:rPr>
        <w:t xml:space="preserve">Контроль за виконанням рішення  покласти на </w:t>
      </w:r>
      <w:r w:rsidR="00A54A48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О.А. </w:t>
      </w:r>
      <w:r w:rsidR="00F84E7B" w:rsidRPr="00175BBD">
        <w:rPr>
          <w:color w:val="000000"/>
          <w:sz w:val="28"/>
          <w:szCs w:val="28"/>
          <w:lang w:val="uk-UA"/>
        </w:rPr>
        <w:t xml:space="preserve"> та постійну депутатську комісію з питань </w:t>
      </w:r>
      <w:r w:rsidR="00F84E7B" w:rsidRPr="00175BBD">
        <w:rPr>
          <w:b/>
          <w:color w:val="000000"/>
          <w:sz w:val="28"/>
          <w:szCs w:val="28"/>
          <w:lang w:val="uk-UA"/>
        </w:rPr>
        <w:t xml:space="preserve"> </w:t>
      </w:r>
      <w:r w:rsidR="00F84E7B" w:rsidRPr="00175BBD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708"/>
        <w:jc w:val="both"/>
        <w:rPr>
          <w:color w:val="000000"/>
          <w:sz w:val="28"/>
          <w:szCs w:val="28"/>
        </w:rPr>
      </w:pP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</w:rPr>
      </w:pPr>
      <w:bookmarkStart w:id="1" w:name="_heading=h.gjdgxs" w:colFirst="0" w:colLast="0"/>
      <w:bookmarkEnd w:id="1"/>
    </w:p>
    <w:p w:rsidR="00AC4A74" w:rsidRDefault="00F84E7B" w:rsidP="00175BB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Лубенський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</w:t>
      </w:r>
      <w:r w:rsidR="00175BBD">
        <w:rPr>
          <w:sz w:val="28"/>
          <w:szCs w:val="28"/>
          <w:lang w:val="uk-UA"/>
        </w:rPr>
        <w:t xml:space="preserve">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ГРИЦАЄНКО</w:t>
      </w:r>
    </w:p>
    <w:p w:rsidR="008B1884" w:rsidRDefault="008B1884">
      <w:pPr>
        <w:jc w:val="center"/>
        <w:rPr>
          <w:sz w:val="28"/>
          <w:szCs w:val="28"/>
        </w:rPr>
      </w:pP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7F3FD1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  <w:r w:rsidRPr="007F3FD1">
        <w:rPr>
          <w:sz w:val="28"/>
          <w:szCs w:val="28"/>
          <w:lang w:val="uk-UA"/>
        </w:rPr>
        <w:t xml:space="preserve">Генеральний план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Pr="007F3FD1">
        <w:rPr>
          <w:sz w:val="28"/>
          <w:szCs w:val="28"/>
          <w:lang w:val="uk-UA"/>
        </w:rPr>
        <w:t>вулично</w:t>
      </w:r>
      <w:proofErr w:type="spellEnd"/>
      <w:r w:rsidRPr="007F3FD1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062F77" w:rsidRPr="007F3FD1" w:rsidRDefault="00590CB1" w:rsidP="007F3FD1">
      <w:pPr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</w:t>
      </w:r>
      <w:r w:rsidR="002247D2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з </w:t>
      </w:r>
      <w:r w:rsidR="002247D2">
        <w:rPr>
          <w:sz w:val="28"/>
          <w:szCs w:val="28"/>
          <w:lang w:val="uk-UA"/>
        </w:rPr>
        <w:t>надходженням</w:t>
      </w:r>
      <w:r>
        <w:rPr>
          <w:sz w:val="28"/>
          <w:szCs w:val="28"/>
          <w:lang w:val="uk-UA"/>
        </w:rPr>
        <w:t xml:space="preserve"> чисельних </w:t>
      </w:r>
      <w:r w:rsidR="002247D2">
        <w:rPr>
          <w:sz w:val="28"/>
          <w:szCs w:val="28"/>
          <w:lang w:val="uk-UA"/>
        </w:rPr>
        <w:t>звернень</w:t>
      </w:r>
      <w:r>
        <w:rPr>
          <w:sz w:val="28"/>
          <w:szCs w:val="28"/>
          <w:lang w:val="uk-UA"/>
        </w:rPr>
        <w:t xml:space="preserve"> від громадян щодо </w:t>
      </w:r>
      <w:r w:rsidR="002247D2">
        <w:rPr>
          <w:sz w:val="28"/>
          <w:szCs w:val="28"/>
          <w:lang w:val="uk-UA"/>
        </w:rPr>
        <w:t xml:space="preserve">необхідності внесення змін  до генерального плану села </w:t>
      </w:r>
      <w:proofErr w:type="spellStart"/>
      <w:r w:rsidR="002247D2">
        <w:rPr>
          <w:sz w:val="28"/>
          <w:szCs w:val="28"/>
          <w:lang w:val="uk-UA"/>
        </w:rPr>
        <w:t>Засулля</w:t>
      </w:r>
      <w:proofErr w:type="spellEnd"/>
      <w:r w:rsidR="002247D2">
        <w:rPr>
          <w:sz w:val="28"/>
          <w:szCs w:val="28"/>
          <w:lang w:val="uk-UA"/>
        </w:rPr>
        <w:t>, з</w:t>
      </w:r>
      <w:r w:rsidR="00CE36A9" w:rsidRPr="007F3FD1">
        <w:rPr>
          <w:sz w:val="28"/>
          <w:szCs w:val="28"/>
          <w:lang w:val="uk-UA"/>
        </w:rPr>
        <w:t xml:space="preserve"> метою раціонального використання земель</w:t>
      </w:r>
      <w:r w:rsidR="003512EB" w:rsidRPr="007F3FD1">
        <w:rPr>
          <w:sz w:val="28"/>
          <w:szCs w:val="28"/>
          <w:lang w:val="uk-UA"/>
        </w:rPr>
        <w:t xml:space="preserve"> та</w:t>
      </w:r>
      <w:r w:rsidR="002E1992" w:rsidRPr="007F3FD1">
        <w:rPr>
          <w:sz w:val="28"/>
          <w:szCs w:val="28"/>
          <w:lang w:val="uk-UA"/>
        </w:rPr>
        <w:t xml:space="preserve"> села</w:t>
      </w:r>
      <w:r w:rsidR="002247D2">
        <w:rPr>
          <w:sz w:val="28"/>
          <w:szCs w:val="28"/>
          <w:lang w:val="uk-UA"/>
        </w:rPr>
        <w:t xml:space="preserve">, </w:t>
      </w:r>
      <w:r w:rsidR="003512EB" w:rsidRPr="007F3FD1">
        <w:rPr>
          <w:sz w:val="28"/>
          <w:szCs w:val="28"/>
          <w:lang w:val="uk-UA"/>
        </w:rPr>
        <w:t>враховуючи неодноразові зверн</w:t>
      </w:r>
      <w:r w:rsidR="002247D2">
        <w:rPr>
          <w:sz w:val="28"/>
          <w:szCs w:val="28"/>
          <w:lang w:val="uk-UA"/>
        </w:rPr>
        <w:t>ення служб виконавчого комітету</w:t>
      </w:r>
      <w:r w:rsidR="00CE36A9" w:rsidRPr="007F3FD1">
        <w:rPr>
          <w:sz w:val="28"/>
          <w:szCs w:val="28"/>
          <w:lang w:val="uk-UA"/>
        </w:rPr>
        <w:t>.</w:t>
      </w:r>
      <w:r w:rsidR="002E1992" w:rsidRPr="007F3FD1">
        <w:rPr>
          <w:sz w:val="28"/>
          <w:szCs w:val="28"/>
          <w:lang w:val="uk-UA"/>
        </w:rPr>
        <w:t xml:space="preserve"> </w:t>
      </w:r>
      <w:r w:rsidR="00CE36A9" w:rsidRPr="007F3FD1">
        <w:rPr>
          <w:sz w:val="28"/>
          <w:szCs w:val="28"/>
          <w:lang w:val="uk-UA"/>
        </w:rPr>
        <w:t>З</w:t>
      </w:r>
      <w:r w:rsidR="00062F77" w:rsidRPr="007F3FD1">
        <w:rPr>
          <w:sz w:val="28"/>
          <w:szCs w:val="28"/>
          <w:lang w:val="uk-UA"/>
        </w:rPr>
        <w:t xml:space="preserve">апропоновано </w:t>
      </w:r>
      <w:proofErr w:type="spellStart"/>
      <w:r w:rsidR="00062F77" w:rsidRPr="007F3FD1">
        <w:rPr>
          <w:sz w:val="28"/>
          <w:szCs w:val="28"/>
          <w:lang w:val="uk-UA"/>
        </w:rPr>
        <w:t>внести</w:t>
      </w:r>
      <w:proofErr w:type="spellEnd"/>
      <w:r w:rsidR="00062F77" w:rsidRPr="007F3FD1">
        <w:rPr>
          <w:sz w:val="28"/>
          <w:szCs w:val="28"/>
          <w:lang w:val="uk-UA"/>
        </w:rPr>
        <w:t xml:space="preserve"> зміни до Генерального плану </w:t>
      </w:r>
      <w:r w:rsidR="00CE36A9" w:rsidRPr="007F3FD1">
        <w:rPr>
          <w:sz w:val="28"/>
          <w:szCs w:val="28"/>
          <w:lang w:val="uk-UA"/>
        </w:rPr>
        <w:t xml:space="preserve">та плану зонування </w:t>
      </w:r>
      <w:r w:rsidR="00062F77" w:rsidRPr="007F3FD1">
        <w:rPr>
          <w:sz w:val="28"/>
          <w:szCs w:val="28"/>
          <w:lang w:val="uk-UA"/>
        </w:rPr>
        <w:t xml:space="preserve">с. </w:t>
      </w:r>
      <w:proofErr w:type="spellStart"/>
      <w:r w:rsidR="00CE36A9" w:rsidRPr="007F3FD1">
        <w:rPr>
          <w:sz w:val="28"/>
          <w:szCs w:val="28"/>
          <w:lang w:val="uk-UA"/>
        </w:rPr>
        <w:t>Засулля</w:t>
      </w:r>
      <w:proofErr w:type="spellEnd"/>
      <w:r w:rsidR="00062F77" w:rsidRPr="007F3FD1">
        <w:rPr>
          <w:sz w:val="28"/>
          <w:szCs w:val="28"/>
          <w:lang w:val="uk-UA"/>
        </w:rPr>
        <w:t>, розроблени</w:t>
      </w:r>
      <w:r w:rsidR="00CE36A9" w:rsidRPr="007F3FD1">
        <w:rPr>
          <w:sz w:val="28"/>
          <w:szCs w:val="28"/>
          <w:lang w:val="uk-UA"/>
        </w:rPr>
        <w:t>й</w:t>
      </w:r>
      <w:r w:rsidR="00062F77" w:rsidRPr="007F3FD1">
        <w:rPr>
          <w:sz w:val="28"/>
          <w:szCs w:val="28"/>
          <w:lang w:val="uk-UA"/>
        </w:rPr>
        <w:t xml:space="preserve"> Державним підприємством «Державний проектний інститут містобудування» «МIСЬКБУДПРОЕКТ» (м. Полтава) у 201</w:t>
      </w:r>
      <w:r w:rsidR="003512EB" w:rsidRPr="007F3FD1">
        <w:rPr>
          <w:sz w:val="28"/>
          <w:szCs w:val="28"/>
          <w:lang w:val="uk-UA"/>
        </w:rPr>
        <w:t>6</w:t>
      </w:r>
      <w:r w:rsidR="00062F77" w:rsidRPr="007F3FD1">
        <w:rPr>
          <w:sz w:val="28"/>
          <w:szCs w:val="28"/>
          <w:lang w:val="uk-UA"/>
        </w:rPr>
        <w:t xml:space="preserve"> році та затвердженим рішенням </w:t>
      </w:r>
      <w:proofErr w:type="spellStart"/>
      <w:r w:rsidR="00062F77" w:rsidRPr="007F3FD1">
        <w:rPr>
          <w:sz w:val="28"/>
          <w:szCs w:val="28"/>
          <w:lang w:val="uk-UA"/>
        </w:rPr>
        <w:t>Засульської</w:t>
      </w:r>
      <w:proofErr w:type="spellEnd"/>
      <w:r w:rsidR="00062F77" w:rsidRPr="007F3FD1">
        <w:rPr>
          <w:sz w:val="28"/>
          <w:szCs w:val="28"/>
          <w:lang w:val="uk-UA"/>
        </w:rPr>
        <w:t xml:space="preserve"> сільської ради </w:t>
      </w:r>
      <w:r w:rsidR="003512EB" w:rsidRPr="007F3FD1">
        <w:rPr>
          <w:sz w:val="28"/>
          <w:szCs w:val="28"/>
          <w:lang w:val="uk-UA"/>
        </w:rPr>
        <w:t>27</w:t>
      </w:r>
      <w:r w:rsidR="00062F77" w:rsidRPr="007F3FD1">
        <w:rPr>
          <w:sz w:val="28"/>
          <w:szCs w:val="28"/>
          <w:lang w:val="uk-UA"/>
        </w:rPr>
        <w:t>.0</w:t>
      </w:r>
      <w:r w:rsidR="003512EB" w:rsidRPr="007F3FD1">
        <w:rPr>
          <w:sz w:val="28"/>
          <w:szCs w:val="28"/>
          <w:lang w:val="uk-UA"/>
        </w:rPr>
        <w:t>4</w:t>
      </w:r>
      <w:r w:rsidR="00062F77" w:rsidRPr="007F3FD1">
        <w:rPr>
          <w:sz w:val="28"/>
          <w:szCs w:val="28"/>
          <w:lang w:val="uk-UA"/>
        </w:rPr>
        <w:t>.201</w:t>
      </w:r>
      <w:r w:rsidR="003512EB" w:rsidRPr="007F3FD1">
        <w:rPr>
          <w:sz w:val="28"/>
          <w:szCs w:val="28"/>
          <w:lang w:val="uk-UA"/>
        </w:rPr>
        <w:t>7</w:t>
      </w:r>
      <w:r w:rsidR="00062F77" w:rsidRPr="007F3FD1">
        <w:rPr>
          <w:sz w:val="28"/>
          <w:szCs w:val="28"/>
          <w:lang w:val="uk-UA"/>
        </w:rPr>
        <w:t xml:space="preserve"> року.</w:t>
      </w:r>
    </w:p>
    <w:p w:rsidR="00AC4A74" w:rsidRDefault="00AC4A74">
      <w:pPr>
        <w:rPr>
          <w:sz w:val="28"/>
          <w:szCs w:val="28"/>
          <w:lang w:val="uk-UA"/>
        </w:rPr>
      </w:pPr>
    </w:p>
    <w:p w:rsidR="00CE36A9" w:rsidRDefault="00CE36A9">
      <w:pPr>
        <w:rPr>
          <w:sz w:val="28"/>
          <w:szCs w:val="28"/>
          <w:lang w:val="uk-UA"/>
        </w:rPr>
      </w:pPr>
    </w:p>
    <w:p w:rsidR="00CE36A9" w:rsidRPr="00175BBD" w:rsidRDefault="00CE36A9">
      <w:pPr>
        <w:rPr>
          <w:sz w:val="28"/>
          <w:szCs w:val="28"/>
          <w:lang w:val="uk-UA"/>
        </w:rPr>
      </w:pPr>
    </w:p>
    <w:p w:rsidR="00AC6363" w:rsidRDefault="00AC6363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AC4A74" w:rsidRPr="00175BBD" w:rsidRDefault="00F84E7B">
      <w:pPr>
        <w:rPr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sectPr w:rsidR="00AC4A74" w:rsidRPr="00175BBD" w:rsidSect="00A54A48">
      <w:pgSz w:w="11906" w:h="16838"/>
      <w:pgMar w:top="426" w:right="850" w:bottom="568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22D22"/>
    <w:multiLevelType w:val="multilevel"/>
    <w:tmpl w:val="46522E7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31292FE2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34491"/>
    <w:rsid w:val="00062F77"/>
    <w:rsid w:val="00175BBD"/>
    <w:rsid w:val="002247D2"/>
    <w:rsid w:val="002D484A"/>
    <w:rsid w:val="002E1992"/>
    <w:rsid w:val="003512EB"/>
    <w:rsid w:val="003A530B"/>
    <w:rsid w:val="004D00AE"/>
    <w:rsid w:val="00590CB1"/>
    <w:rsid w:val="006F5447"/>
    <w:rsid w:val="00767EE4"/>
    <w:rsid w:val="007F3FD1"/>
    <w:rsid w:val="0080286D"/>
    <w:rsid w:val="008B1884"/>
    <w:rsid w:val="00A54A48"/>
    <w:rsid w:val="00AC4A74"/>
    <w:rsid w:val="00AC6363"/>
    <w:rsid w:val="00B22511"/>
    <w:rsid w:val="00B24119"/>
    <w:rsid w:val="00CE36A9"/>
    <w:rsid w:val="00EB294F"/>
    <w:rsid w:val="00EC3D86"/>
    <w:rsid w:val="00F26E30"/>
    <w:rsid w:val="00F8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B1C9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</dc:creator>
  <cp:lastModifiedBy>Users_01</cp:lastModifiedBy>
  <cp:revision>8</cp:revision>
  <cp:lastPrinted>2023-02-01T14:12:00Z</cp:lastPrinted>
  <dcterms:created xsi:type="dcterms:W3CDTF">2024-12-03T09:23:00Z</dcterms:created>
  <dcterms:modified xsi:type="dcterms:W3CDTF">2024-12-12T06:37:00Z</dcterms:modified>
</cp:coreProperties>
</file>