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A62" w:rsidRDefault="009C5A62" w:rsidP="009C5A62">
      <w:pPr>
        <w:rPr>
          <w:rFonts w:ascii="Times New Roman" w:eastAsia="Times New Roman" w:hAnsi="Times New Roman"/>
        </w:rPr>
      </w:pPr>
    </w:p>
    <w:p w:rsidR="00D36A14" w:rsidRPr="00291F60" w:rsidRDefault="00D36A14" w:rsidP="00D36A14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A14" w:rsidRPr="00291F60" w:rsidRDefault="00D36A14" w:rsidP="00D36A14">
      <w:pPr>
        <w:rPr>
          <w:rFonts w:ascii="Times New Roman" w:eastAsia="Times New Roman" w:hAnsi="Times New Roman"/>
          <w:sz w:val="27"/>
          <w:szCs w:val="27"/>
        </w:rPr>
      </w:pPr>
    </w:p>
    <w:p w:rsidR="00D36A14" w:rsidRPr="00291F60" w:rsidRDefault="00D36A14" w:rsidP="00D36A1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D36A14" w:rsidRPr="00291F60" w:rsidRDefault="00D36A14" w:rsidP="00D36A1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D36A14" w:rsidRPr="008E4F5A" w:rsidRDefault="00D36A14" w:rsidP="00D36A14">
      <w:pPr>
        <w:rPr>
          <w:rFonts w:ascii="Times New Roman" w:eastAsia="Times New Roman" w:hAnsi="Times New Roman"/>
          <w:sz w:val="28"/>
          <w:szCs w:val="28"/>
        </w:rPr>
      </w:pPr>
      <w:r w:rsidRPr="00D36A14">
        <w:rPr>
          <w:rFonts w:ascii="Times New Roman" w:eastAsia="Times New Roman" w:hAnsi="Times New Roman"/>
          <w:sz w:val="26"/>
          <w:szCs w:val="26"/>
        </w:rPr>
        <w:t>13 березня 2017 року</w:t>
      </w:r>
      <w:r w:rsidRPr="008E4F5A">
        <w:rPr>
          <w:rFonts w:ascii="Times New Roman" w:eastAsia="Times New Roman" w:hAnsi="Times New Roman"/>
          <w:sz w:val="28"/>
          <w:szCs w:val="28"/>
        </w:rPr>
        <w:tab/>
      </w:r>
      <w:r w:rsidRPr="008E4F5A">
        <w:rPr>
          <w:rFonts w:ascii="Times New Roman" w:eastAsia="Times New Roman" w:hAnsi="Times New Roman"/>
          <w:sz w:val="28"/>
          <w:szCs w:val="28"/>
        </w:rPr>
        <w:tab/>
      </w:r>
      <w:r w:rsidRPr="008E4F5A">
        <w:rPr>
          <w:rFonts w:ascii="Times New Roman" w:eastAsia="Times New Roman" w:hAnsi="Times New Roman"/>
          <w:sz w:val="28"/>
          <w:szCs w:val="28"/>
        </w:rPr>
        <w:tab/>
      </w:r>
      <w:r w:rsidRPr="008E4F5A">
        <w:rPr>
          <w:rFonts w:ascii="Times New Roman" w:eastAsia="Times New Roman" w:hAnsi="Times New Roman"/>
          <w:sz w:val="28"/>
          <w:szCs w:val="28"/>
        </w:rPr>
        <w:tab/>
      </w:r>
      <w:r w:rsidRPr="008E4F5A"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Pr="008E4F5A">
        <w:rPr>
          <w:rFonts w:ascii="Times New Roman" w:eastAsia="Times New Roman" w:hAnsi="Times New Roman"/>
          <w:sz w:val="28"/>
          <w:szCs w:val="28"/>
        </w:rPr>
        <w:tab/>
      </w:r>
      <w:r w:rsidR="009C5A62">
        <w:rPr>
          <w:rFonts w:ascii="Times New Roman" w:eastAsia="Times New Roman" w:hAnsi="Times New Roman"/>
          <w:sz w:val="28"/>
          <w:szCs w:val="28"/>
        </w:rPr>
        <w:tab/>
      </w:r>
      <w:r w:rsidR="009C5A62">
        <w:rPr>
          <w:rFonts w:ascii="Times New Roman" w:eastAsia="Times New Roman" w:hAnsi="Times New Roman"/>
          <w:sz w:val="28"/>
          <w:szCs w:val="28"/>
        </w:rPr>
        <w:tab/>
      </w:r>
      <w:r w:rsidR="009C5A62">
        <w:rPr>
          <w:rFonts w:ascii="Times New Roman" w:eastAsia="Times New Roman" w:hAnsi="Times New Roman"/>
          <w:sz w:val="28"/>
          <w:szCs w:val="28"/>
        </w:rPr>
        <w:tab/>
        <w:t xml:space="preserve">      </w:t>
      </w:r>
      <w:r w:rsidRPr="00D36A14">
        <w:rPr>
          <w:rFonts w:ascii="Times New Roman" w:eastAsia="Times New Roman" w:hAnsi="Times New Roman"/>
          <w:sz w:val="26"/>
          <w:szCs w:val="26"/>
        </w:rPr>
        <w:t>м. Київ</w:t>
      </w:r>
    </w:p>
    <w:p w:rsidR="00D36A14" w:rsidRDefault="00D36A14" w:rsidP="00D36A1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D36A14" w:rsidRPr="00D36A14" w:rsidRDefault="00D36A14" w:rsidP="00D36A14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D36A14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D36A14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D36A14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D36A14">
        <w:rPr>
          <w:rFonts w:ascii="Times New Roman" w:eastAsia="Times New Roman" w:hAnsi="Times New Roman"/>
          <w:bCs/>
          <w:sz w:val="26"/>
          <w:szCs w:val="26"/>
          <w:u w:val="single"/>
        </w:rPr>
        <w:t>3/пс-17</w:t>
      </w:r>
    </w:p>
    <w:p w:rsidR="00D36A14" w:rsidRDefault="00D36A14" w:rsidP="00D36A1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5C5D4D" w:rsidRDefault="00F14095">
      <w:pPr>
        <w:pStyle w:val="11"/>
        <w:shd w:val="clear" w:color="auto" w:fill="auto"/>
        <w:spacing w:before="0" w:after="274" w:line="302" w:lineRule="exact"/>
        <w:ind w:left="20" w:right="20" w:firstLine="68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5C5D4D" w:rsidRDefault="00F14095">
      <w:pPr>
        <w:pStyle w:val="11"/>
        <w:shd w:val="clear" w:color="auto" w:fill="auto"/>
        <w:spacing w:before="0" w:after="0" w:line="260" w:lineRule="exact"/>
        <w:ind w:left="20" w:firstLine="0"/>
      </w:pPr>
      <w:r>
        <w:t xml:space="preserve">головуючого </w:t>
      </w:r>
      <w:r w:rsidR="009C5A62">
        <w:t>–</w:t>
      </w:r>
      <w:r>
        <w:t xml:space="preserve"> Устименко В.Є.,</w:t>
      </w:r>
    </w:p>
    <w:p w:rsidR="005C5D4D" w:rsidRDefault="00F14095">
      <w:pPr>
        <w:pStyle w:val="11"/>
        <w:shd w:val="clear" w:color="auto" w:fill="auto"/>
        <w:spacing w:before="0" w:after="240" w:line="298" w:lineRule="exact"/>
        <w:ind w:left="20" w:right="20" w:firstLine="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r w:rsidR="00D36A14">
        <w:t xml:space="preserve">    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</w:t>
      </w:r>
    </w:p>
    <w:p w:rsidR="005C5D4D" w:rsidRDefault="00F14095">
      <w:pPr>
        <w:pStyle w:val="11"/>
        <w:shd w:val="clear" w:color="auto" w:fill="auto"/>
        <w:spacing w:before="0" w:after="270" w:line="298" w:lineRule="exact"/>
        <w:ind w:left="20" w:right="20" w:firstLine="0"/>
      </w:pPr>
      <w:r>
        <w:t>розглянувши питання щодо внесення подання про відрядження суддів до Волноваського районного суду Донецької області для здійснення правосуддя</w:t>
      </w:r>
    </w:p>
    <w:p w:rsidR="005C5D4D" w:rsidRDefault="00F14095">
      <w:pPr>
        <w:pStyle w:val="11"/>
        <w:shd w:val="clear" w:color="auto" w:fill="auto"/>
        <w:spacing w:before="0" w:after="252" w:line="260" w:lineRule="exact"/>
        <w:ind w:right="20" w:firstLine="0"/>
        <w:jc w:val="center"/>
      </w:pPr>
      <w:r>
        <w:t>встановила: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До Вищої кваліфікаційної комісії суддів України (далі </w:t>
      </w:r>
      <w:r w:rsidR="009C5A62">
        <w:t>–</w:t>
      </w:r>
      <w:r w:rsidR="009C5A62">
        <w:t xml:space="preserve"> Комісія) 15 лютого 2017 </w:t>
      </w:r>
      <w:r>
        <w:t>року надійшло повідомлення Державної судової адміністрації України про необхідність розгляду питання щодо відрядження суддів до Волноваського районного суду Донецької області у зв’язку з виявленням надмірного рівня судового навантаження.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Волноваському районному суді Донецької області визначено вісім </w:t>
      </w:r>
      <w:r w:rsidR="00D36A14">
        <w:t xml:space="preserve">     </w:t>
      </w:r>
      <w:r>
        <w:t>штатних посад суддів, з них шість посад є вакантними.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За повідомленням Державної судової адміністрації України відрядження </w:t>
      </w:r>
      <w:r w:rsidR="00D36A14">
        <w:t xml:space="preserve">        </w:t>
      </w:r>
      <w:r>
        <w:t>шістьох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 (далі </w:t>
      </w:r>
      <w:r w:rsidR="009C5A62">
        <w:t>–</w:t>
      </w:r>
      <w:r>
        <w:t xml:space="preserve"> Порядок), затвердженого рішенням Вищої ради правосуддя від 24 січня 2017 року №54/0/15-17, призначено до розгляду Комісією питання щодо внесення подання про відрядження суддів до Волноваського районного суду Донецької області для здійснення правосуддя.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Для розгляду Комісією питання щодо внесення подання про відрядження до Волноваського районного суду Донецької області надали згоду на відрядження:</w:t>
      </w:r>
    </w:p>
    <w:p w:rsidR="005C5D4D" w:rsidRDefault="00F14095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left="720" w:right="20"/>
      </w:pPr>
      <w:r>
        <w:t xml:space="preserve">суддя </w:t>
      </w:r>
      <w:proofErr w:type="spellStart"/>
      <w:r>
        <w:t>Новоазовського</w:t>
      </w:r>
      <w:proofErr w:type="spellEnd"/>
      <w:r>
        <w:t xml:space="preserve"> районного суду Донецької області </w:t>
      </w:r>
      <w:r>
        <w:rPr>
          <w:lang w:val="ru-RU"/>
        </w:rPr>
        <w:t xml:space="preserve">Безрук </w:t>
      </w:r>
      <w:r>
        <w:t>Тетяна Василівна, призначена на посаду судді строком на п’ять років Указом Президента України від 4 листопада 2009 року № 904/2009;</w:t>
      </w:r>
    </w:p>
    <w:p w:rsidR="005C5D4D" w:rsidRDefault="00F14095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298" w:lineRule="exact"/>
        <w:ind w:left="720" w:right="20"/>
      </w:pPr>
      <w:r>
        <w:t>суддя Пролетарського районного суду міста Донецька Кирилюк Наталія Анатоліївна, призначена на посаду судді строком на п’ять років Указом Президента України від 2 липня 2009 року № 500/2009;</w:t>
      </w:r>
    </w:p>
    <w:p w:rsidR="00E00233" w:rsidRPr="009C5A62" w:rsidRDefault="009C5A62" w:rsidP="009C5A62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5C5D4D" w:rsidRDefault="00F14095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298" w:lineRule="exact"/>
        <w:ind w:left="720" w:right="20"/>
      </w:pPr>
      <w:r>
        <w:lastRenderedPageBreak/>
        <w:t xml:space="preserve">суддя Куйбишевського районного суду міста Донецька </w:t>
      </w:r>
      <w:proofErr w:type="spellStart"/>
      <w:r>
        <w:t>Писанець</w:t>
      </w:r>
      <w:proofErr w:type="spellEnd"/>
      <w:r>
        <w:t xml:space="preserve"> Наталя Володимирівна, призначена на посаду судді строком на п’ять років Указом Президента України від 13 травня 2009 року № 319/2009;</w:t>
      </w:r>
    </w:p>
    <w:p w:rsidR="005C5D4D" w:rsidRDefault="00F14095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298" w:lineRule="exact"/>
        <w:ind w:left="720" w:right="20"/>
      </w:pPr>
      <w:r>
        <w:t xml:space="preserve">суддя Київського районного суду міста Донецька </w:t>
      </w:r>
      <w:proofErr w:type="spellStart"/>
      <w:r>
        <w:t>Чальцева</w:t>
      </w:r>
      <w:proofErr w:type="spellEnd"/>
      <w:r>
        <w:t xml:space="preserve"> Тетяна Володимирівна, призначена на посаду судді строком на п’ять років Указом Президента України від 10 листопада 2009 року № 918/2009.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На підставі наявних у розпорядженні Комісії матеріалів не встановлено, що відрядження суддів </w:t>
      </w:r>
      <w:proofErr w:type="spellStart"/>
      <w:r w:rsidRPr="00E00233">
        <w:t>Безрук</w:t>
      </w:r>
      <w:proofErr w:type="spellEnd"/>
      <w:r w:rsidRPr="00E00233">
        <w:t xml:space="preserve"> </w:t>
      </w:r>
      <w:r>
        <w:t xml:space="preserve">Т.В., Кирилюк Н.А., </w:t>
      </w:r>
      <w:proofErr w:type="spellStart"/>
      <w:r>
        <w:t>Писанець</w:t>
      </w:r>
      <w:proofErr w:type="spellEnd"/>
      <w:r>
        <w:t xml:space="preserve"> Н.В. і </w:t>
      </w:r>
      <w:proofErr w:type="spellStart"/>
      <w:r>
        <w:t>Чальцевої</w:t>
      </w:r>
      <w:proofErr w:type="spellEnd"/>
      <w:r>
        <w:t xml:space="preserve"> Т.В.</w:t>
      </w:r>
      <w:r w:rsidR="00E00233">
        <w:t xml:space="preserve"> </w:t>
      </w:r>
      <w:r>
        <w:t xml:space="preserve"> вплине на середній рівень судового навантаження та доступ до правосуддя у вказаних судах, оскільки ці суди припинили свою роботу у зв’язку з проведенням на території Донецької області антитерористичної операції і на даний час правосуддя у зазначених судах не здійснюється.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Про розгляд поданих згод на відрядження суддів було повідомлено шляхом розміщення оголошення щодо призначення до розгляду зазначеного питання на офіційному веб-сайті Комісії відповідно до вимог пункту 2 розділу III Порядку.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firstLine="700"/>
      </w:pPr>
      <w:r>
        <w:t xml:space="preserve">У засідання Комісії з’явилися судді </w:t>
      </w:r>
      <w:r>
        <w:rPr>
          <w:lang w:val="ru-RU"/>
        </w:rPr>
        <w:t xml:space="preserve">Безрук </w:t>
      </w:r>
      <w:r>
        <w:t>Т.В. та Кирилюк Н.А.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На підставі наявних у розпорядженні Комісії матеріалів не встановлено, що відрядження суддів </w:t>
      </w:r>
      <w:proofErr w:type="spellStart"/>
      <w:r>
        <w:t>Новоазовського</w:t>
      </w:r>
      <w:proofErr w:type="spellEnd"/>
      <w:r>
        <w:t xml:space="preserve"> районного суду Донецької області </w:t>
      </w:r>
      <w:proofErr w:type="spellStart"/>
      <w:r w:rsidRPr="00D36A14">
        <w:t>Безрук</w:t>
      </w:r>
      <w:proofErr w:type="spellEnd"/>
      <w:r w:rsidRPr="00D36A14">
        <w:t xml:space="preserve"> </w:t>
      </w:r>
      <w:r>
        <w:t xml:space="preserve">Т.В., Пролетарського районного суду міста Донецька Кирилюк Н.А., Куйбишевського районного суду міста Донецька </w:t>
      </w:r>
      <w:proofErr w:type="spellStart"/>
      <w:r>
        <w:t>Писанець</w:t>
      </w:r>
      <w:proofErr w:type="spellEnd"/>
      <w:r>
        <w:t xml:space="preserve"> Н.В., Київського районного суду міста Донецька </w:t>
      </w:r>
      <w:proofErr w:type="spellStart"/>
      <w:r>
        <w:t>Чальцевої</w:t>
      </w:r>
      <w:proofErr w:type="spellEnd"/>
      <w:r>
        <w:t xml:space="preserve"> Т.В. суттєво вплине на середній рівень судового навантаження, доступу до правосуддя в судах, у яких вони працювали, оскільки з 2014 року робота в них припинена у зв’язку з неможливістю здійснювати правосуддя через бойові дії, що відбуваються в районі розташування судів.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Розпорядженням Голови Вищого спеціалізованого суду України з розгляду цивільних і кримінальних справ від 02.09.2014 №27/0/38-14 розгляд справ, підсудних: </w:t>
      </w:r>
      <w:proofErr w:type="spellStart"/>
      <w:r>
        <w:t>підсудних</w:t>
      </w:r>
      <w:proofErr w:type="spellEnd"/>
      <w:r>
        <w:t xml:space="preserve"> </w:t>
      </w:r>
      <w:proofErr w:type="spellStart"/>
      <w:r>
        <w:t>Новоазовському</w:t>
      </w:r>
      <w:proofErr w:type="spellEnd"/>
      <w:r>
        <w:t xml:space="preserve"> районному суду Донецької області, здійснюється Приазовським районним судом Запорізької області, Пролетарському районному суду міста Донецька </w:t>
      </w:r>
      <w:r w:rsidR="005630E9">
        <w:t>–</w:t>
      </w:r>
      <w:r>
        <w:t xml:space="preserve"> Дзержинським міським судом Донецької області, Куйбишевському районному суду міста Донецька та Київському районному суду </w:t>
      </w:r>
      <w:r w:rsidR="00C64B54">
        <w:t xml:space="preserve">  </w:t>
      </w:r>
      <w:r>
        <w:t xml:space="preserve">міста Донецька </w:t>
      </w:r>
      <w:r w:rsidR="005630E9">
        <w:t>–</w:t>
      </w:r>
      <w:r>
        <w:t xml:space="preserve"> </w:t>
      </w:r>
      <w:proofErr w:type="spellStart"/>
      <w:r>
        <w:t>Павлоградським</w:t>
      </w:r>
      <w:proofErr w:type="spellEnd"/>
      <w:r>
        <w:t xml:space="preserve"> </w:t>
      </w:r>
      <w:proofErr w:type="spellStart"/>
      <w:r>
        <w:t>міськрайонним</w:t>
      </w:r>
      <w:proofErr w:type="spellEnd"/>
      <w:r>
        <w:t xml:space="preserve"> судом Дніпропетровської області.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довідок (додаток 2 до Порядку), виданих Територіальним управлінням Державної судової адміністрації України в Донецькій області, за останні два роки (2015, 2016) перебування на посаді суддями </w:t>
      </w:r>
      <w:proofErr w:type="spellStart"/>
      <w:r w:rsidRPr="00D36A14">
        <w:t>Безрук</w:t>
      </w:r>
      <w:proofErr w:type="spellEnd"/>
      <w:r w:rsidRPr="00D36A14">
        <w:t xml:space="preserve"> </w:t>
      </w:r>
      <w:r>
        <w:t xml:space="preserve">Т.В., Кирилюк Н.А., </w:t>
      </w:r>
      <w:proofErr w:type="spellStart"/>
      <w:r>
        <w:t>Писанець</w:t>
      </w:r>
      <w:proofErr w:type="spellEnd"/>
      <w:r>
        <w:t xml:space="preserve"> Н.В. і </w:t>
      </w:r>
      <w:proofErr w:type="spellStart"/>
      <w:r>
        <w:t>Чальцевою</w:t>
      </w:r>
      <w:proofErr w:type="spellEnd"/>
      <w:r>
        <w:t xml:space="preserve"> Т.В. справи не розглядалися.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 суддів </w:t>
      </w:r>
      <w:r>
        <w:rPr>
          <w:lang w:val="ru-RU"/>
        </w:rPr>
        <w:t xml:space="preserve">Безрук </w:t>
      </w:r>
      <w:r>
        <w:t xml:space="preserve">Т.В., Кирилюк Н.А., </w:t>
      </w:r>
      <w:proofErr w:type="spellStart"/>
      <w:r>
        <w:t>Писанець</w:t>
      </w:r>
      <w:proofErr w:type="spellEnd"/>
      <w:r>
        <w:t xml:space="preserve"> Н.В. та </w:t>
      </w:r>
      <w:proofErr w:type="spellStart"/>
      <w:r>
        <w:t>Чальцевої</w:t>
      </w:r>
      <w:proofErr w:type="spellEnd"/>
      <w:r>
        <w:t xml:space="preserve"> Т.В. п’ятирічний строк повноважень, на який їх було призначено, сплинув у 2014 році. Матеріали щодо обрання вказаних суддів безстроково перебувають на розгляді у Вищій раді правосуддя та можуть бути одночасно розглянуті з вирішенням питання про відрядження їх до іншого суду того самого рівня і спеціалізації.</w:t>
      </w:r>
    </w:p>
    <w:p w:rsidR="00C64B54" w:rsidRDefault="00F14095" w:rsidP="00262C9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Заслухавши доповідача та пояснення суддів, дослідивши наявні в </w:t>
      </w:r>
      <w:r w:rsidR="00C64B54">
        <w:t xml:space="preserve"> </w:t>
      </w:r>
      <w:r>
        <w:t xml:space="preserve">розпорядженні Комісії матеріали, врахувавши стаж роботи на посаді судді, інформацію про стан здійснення правосуддя у суді, в якому судді обіймали штатні посади, а також обставини, встановлені під час розгляду питання щодо відрядження суддів, Комісія дійшла висновку про внесення до Вищої ради правосуддя подання з рекомендацією на відрядження суддів </w:t>
      </w:r>
      <w:proofErr w:type="spellStart"/>
      <w:r w:rsidRPr="00D36A14">
        <w:t>Безрук</w:t>
      </w:r>
      <w:proofErr w:type="spellEnd"/>
      <w:r w:rsidRPr="00D36A14">
        <w:t xml:space="preserve"> </w:t>
      </w:r>
      <w:r>
        <w:t xml:space="preserve">Т.В., Кирилюк Н.А., </w:t>
      </w:r>
      <w:proofErr w:type="spellStart"/>
      <w:r>
        <w:t>Писанець</w:t>
      </w:r>
      <w:proofErr w:type="spellEnd"/>
      <w:r>
        <w:t xml:space="preserve"> Н.В, </w:t>
      </w:r>
      <w:proofErr w:type="spellStart"/>
      <w:r>
        <w:t>Чальцевої</w:t>
      </w:r>
      <w:proofErr w:type="spellEnd"/>
      <w:r>
        <w:t xml:space="preserve"> Т.В. до Волноваського районного суду Донецької області для здійснення правосуддя.</w:t>
      </w:r>
      <w:r>
        <w:br w:type="page"/>
      </w:r>
    </w:p>
    <w:p w:rsidR="005C5D4D" w:rsidRDefault="00F14095">
      <w:pPr>
        <w:pStyle w:val="11"/>
        <w:shd w:val="clear" w:color="auto" w:fill="auto"/>
        <w:spacing w:before="0" w:after="270" w:line="298" w:lineRule="exact"/>
        <w:ind w:left="20" w:right="20" w:firstLine="720"/>
      </w:pPr>
      <w:r>
        <w:lastRenderedPageBreak/>
        <w:t xml:space="preserve">Керуючись статтями 55, 82, 93 Закону України «Про судоустрій і статус </w:t>
      </w:r>
      <w:r w:rsidR="00C64B54">
        <w:t xml:space="preserve"> </w:t>
      </w:r>
      <w:r>
        <w:t xml:space="preserve">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</w:t>
      </w:r>
      <w:r w:rsidR="00C64B54">
        <w:t xml:space="preserve">   </w:t>
      </w:r>
      <w:r>
        <w:t>24 січня 2017 року № 54/0/15-17, Вища кваліфікаційна комісія суддів України</w:t>
      </w:r>
    </w:p>
    <w:p w:rsidR="005C5D4D" w:rsidRDefault="00F14095">
      <w:pPr>
        <w:pStyle w:val="11"/>
        <w:shd w:val="clear" w:color="auto" w:fill="auto"/>
        <w:spacing w:before="0" w:after="252" w:line="260" w:lineRule="exact"/>
        <w:ind w:firstLine="0"/>
        <w:jc w:val="center"/>
      </w:pPr>
      <w:r>
        <w:t>вирішила: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0"/>
      </w:pPr>
      <w:r>
        <w:t>внести до Вищої ради правосуддя подання з рекомендацією на відрядження до Волноваського районного суду Донецької області для здійснення правосуддя: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судді </w:t>
      </w:r>
      <w:proofErr w:type="spellStart"/>
      <w:r>
        <w:t>Новоазовського</w:t>
      </w:r>
      <w:proofErr w:type="spellEnd"/>
      <w:r>
        <w:t xml:space="preserve"> районного суду Донецької області </w:t>
      </w:r>
      <w:r>
        <w:rPr>
          <w:lang w:val="ru-RU"/>
        </w:rPr>
        <w:t xml:space="preserve">Безрук </w:t>
      </w:r>
      <w:r>
        <w:t>Тетяни Василівни строком на шість місяців;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судді Пролетарського районного суду міста Донецька Кирилюк Наталії Анатоліївни строком на шість місяців;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судді Куйбишевського районного суду міста Донецька </w:t>
      </w:r>
      <w:proofErr w:type="spellStart"/>
      <w:r>
        <w:t>Писанець</w:t>
      </w:r>
      <w:proofErr w:type="spellEnd"/>
      <w:r>
        <w:t xml:space="preserve"> Наталі Володимирівни строком на шість місяців;</w:t>
      </w:r>
    </w:p>
    <w:p w:rsidR="005C5D4D" w:rsidRDefault="00F14095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судді Київського районного суду міста Донецька </w:t>
      </w:r>
      <w:proofErr w:type="spellStart"/>
      <w:r>
        <w:t>Чальцевої</w:t>
      </w:r>
      <w:proofErr w:type="spellEnd"/>
      <w:r>
        <w:t xml:space="preserve"> Тетяни Володимирівни строком на шість місяців.</w:t>
      </w:r>
    </w:p>
    <w:p w:rsidR="00C64B54" w:rsidRDefault="00C64B54">
      <w:pPr>
        <w:pStyle w:val="11"/>
        <w:shd w:val="clear" w:color="auto" w:fill="auto"/>
        <w:spacing w:before="0" w:after="0" w:line="298" w:lineRule="exact"/>
        <w:ind w:left="20" w:right="20" w:firstLine="720"/>
      </w:pPr>
    </w:p>
    <w:p w:rsidR="00C64B54" w:rsidRDefault="00C64B54">
      <w:pPr>
        <w:pStyle w:val="11"/>
        <w:shd w:val="clear" w:color="auto" w:fill="auto"/>
        <w:spacing w:before="0" w:after="0" w:line="298" w:lineRule="exact"/>
        <w:ind w:left="20" w:right="20" w:firstLine="720"/>
      </w:pPr>
    </w:p>
    <w:p w:rsidR="00C64B54" w:rsidRDefault="00C64B54">
      <w:pPr>
        <w:pStyle w:val="11"/>
        <w:shd w:val="clear" w:color="auto" w:fill="auto"/>
        <w:spacing w:before="0" w:after="0" w:line="298" w:lineRule="exact"/>
        <w:ind w:left="20" w:right="20" w:firstLine="720"/>
      </w:pPr>
    </w:p>
    <w:p w:rsidR="00C64B54" w:rsidRDefault="00C64B5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Головуючий</w:t>
      </w:r>
      <w:r w:rsidRPr="007F7AAA">
        <w:t>:</w:t>
      </w:r>
      <w:r w:rsidR="007F7AAA">
        <w:tab/>
      </w:r>
      <w:r w:rsidR="007F7AAA">
        <w:tab/>
      </w:r>
      <w:r w:rsidR="007F7AAA">
        <w:tab/>
      </w:r>
      <w:r w:rsidR="007F7AAA">
        <w:tab/>
      </w:r>
      <w:r w:rsidR="007F7AAA">
        <w:tab/>
      </w:r>
      <w:r w:rsidR="007F7AAA">
        <w:tab/>
      </w:r>
      <w:r w:rsidR="007F7AAA">
        <w:tab/>
      </w:r>
      <w:r>
        <w:t>В.Є.</w:t>
      </w:r>
      <w:r w:rsidR="007F7AAA">
        <w:t xml:space="preserve"> </w:t>
      </w:r>
      <w:r>
        <w:t>Устименко</w:t>
      </w:r>
    </w:p>
    <w:p w:rsidR="00C64B54" w:rsidRDefault="00C64B54">
      <w:pPr>
        <w:pStyle w:val="11"/>
        <w:shd w:val="clear" w:color="auto" w:fill="auto"/>
        <w:spacing w:before="0" w:after="0" w:line="298" w:lineRule="exact"/>
        <w:ind w:left="20" w:right="20" w:firstLine="720"/>
      </w:pPr>
    </w:p>
    <w:p w:rsidR="00C64B54" w:rsidRDefault="00C64B5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Члени Комісії</w:t>
      </w:r>
      <w:r w:rsidRPr="007F7AAA">
        <w:t>:</w:t>
      </w:r>
      <w:r w:rsidRPr="007F7AAA">
        <w:tab/>
      </w:r>
      <w:r w:rsidR="007F7AAA" w:rsidRPr="007F7AAA">
        <w:tab/>
      </w:r>
      <w:r w:rsidR="007F7AAA" w:rsidRPr="007F7AAA">
        <w:tab/>
      </w:r>
      <w:r w:rsidR="007F7AAA" w:rsidRPr="007F7AAA">
        <w:tab/>
      </w:r>
      <w:r w:rsidR="007F7AAA" w:rsidRPr="007F7AAA">
        <w:tab/>
      </w:r>
      <w:r w:rsidR="007F7AAA" w:rsidRPr="007F7AAA">
        <w:tab/>
      </w:r>
      <w:r w:rsidR="007F7AAA" w:rsidRPr="007F7AAA">
        <w:tab/>
      </w:r>
      <w:r>
        <w:t>В.І.</w:t>
      </w:r>
      <w:r w:rsidR="007F7AAA">
        <w:t xml:space="preserve"> </w:t>
      </w:r>
      <w:proofErr w:type="spellStart"/>
      <w:r>
        <w:t>Бутенко</w:t>
      </w:r>
      <w:proofErr w:type="spellEnd"/>
    </w:p>
    <w:p w:rsidR="00C64B54" w:rsidRDefault="00C64B54">
      <w:pPr>
        <w:pStyle w:val="11"/>
        <w:shd w:val="clear" w:color="auto" w:fill="auto"/>
        <w:spacing w:before="0" w:after="0" w:line="298" w:lineRule="exact"/>
        <w:ind w:left="20" w:right="20" w:firstLine="720"/>
      </w:pPr>
    </w:p>
    <w:p w:rsidR="00C64B54" w:rsidRDefault="007F7AAA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4B54">
        <w:t>А.О.</w:t>
      </w:r>
      <w:r>
        <w:t xml:space="preserve"> </w:t>
      </w:r>
      <w:proofErr w:type="spellStart"/>
      <w:r w:rsidR="00C64B54">
        <w:t>Заріцька</w:t>
      </w:r>
      <w:proofErr w:type="spellEnd"/>
    </w:p>
    <w:p w:rsidR="00C64B54" w:rsidRDefault="00C64B54">
      <w:pPr>
        <w:pStyle w:val="11"/>
        <w:shd w:val="clear" w:color="auto" w:fill="auto"/>
        <w:spacing w:before="0" w:after="0" w:line="298" w:lineRule="exact"/>
        <w:ind w:left="20" w:right="20" w:firstLine="720"/>
      </w:pPr>
    </w:p>
    <w:p w:rsidR="00C64B54" w:rsidRDefault="007F7AAA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4B54">
        <w:t>А.Г.</w:t>
      </w:r>
      <w:r>
        <w:t xml:space="preserve"> </w:t>
      </w:r>
      <w:r w:rsidR="00C64B54">
        <w:t>Козлов</w:t>
      </w:r>
    </w:p>
    <w:p w:rsidR="00C64B54" w:rsidRDefault="00C64B54">
      <w:pPr>
        <w:pStyle w:val="11"/>
        <w:shd w:val="clear" w:color="auto" w:fill="auto"/>
        <w:spacing w:before="0" w:after="0" w:line="298" w:lineRule="exact"/>
        <w:ind w:left="20" w:right="20" w:firstLine="720"/>
      </w:pPr>
    </w:p>
    <w:p w:rsidR="00C64B54" w:rsidRDefault="007F7AAA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4B54">
        <w:t>П.С.</w:t>
      </w:r>
      <w:r>
        <w:t xml:space="preserve"> </w:t>
      </w:r>
      <w:proofErr w:type="spellStart"/>
      <w:r w:rsidR="00C64B54">
        <w:t>Луцюк</w:t>
      </w:r>
      <w:proofErr w:type="spellEnd"/>
    </w:p>
    <w:p w:rsidR="00C64B54" w:rsidRDefault="00C64B54">
      <w:pPr>
        <w:pStyle w:val="11"/>
        <w:shd w:val="clear" w:color="auto" w:fill="auto"/>
        <w:spacing w:before="0" w:after="0" w:line="298" w:lineRule="exact"/>
        <w:ind w:left="20" w:right="20" w:firstLine="720"/>
      </w:pPr>
    </w:p>
    <w:p w:rsidR="00C64B54" w:rsidRDefault="007F7AAA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4B54">
        <w:t>М.А.</w:t>
      </w:r>
      <w:r w:rsidR="009E0545">
        <w:t xml:space="preserve"> </w:t>
      </w:r>
      <w:bookmarkStart w:id="0" w:name="_GoBack"/>
      <w:bookmarkEnd w:id="0"/>
      <w:proofErr w:type="spellStart"/>
      <w:r w:rsidR="00C64B54">
        <w:t>Макарчук</w:t>
      </w:r>
      <w:proofErr w:type="spellEnd"/>
    </w:p>
    <w:p w:rsidR="00C64B54" w:rsidRDefault="00C64B54">
      <w:pPr>
        <w:pStyle w:val="11"/>
        <w:shd w:val="clear" w:color="auto" w:fill="auto"/>
        <w:spacing w:before="0" w:after="0" w:line="298" w:lineRule="exact"/>
        <w:ind w:left="20" w:right="20" w:firstLine="720"/>
      </w:pPr>
    </w:p>
    <w:p w:rsidR="00C64B54" w:rsidRPr="00C64B54" w:rsidRDefault="007F7AAA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4B54">
        <w:t>С.М.</w:t>
      </w:r>
      <w:r w:rsidR="009E0545">
        <w:t xml:space="preserve"> </w:t>
      </w:r>
      <w:proofErr w:type="spellStart"/>
      <w:r w:rsidR="00C64B54">
        <w:t>Прилипко</w:t>
      </w:r>
      <w:proofErr w:type="spellEnd"/>
    </w:p>
    <w:p w:rsidR="00C64B54" w:rsidRDefault="00C64B54">
      <w:pPr>
        <w:pStyle w:val="11"/>
        <w:shd w:val="clear" w:color="auto" w:fill="auto"/>
        <w:spacing w:before="0" w:after="0" w:line="298" w:lineRule="exact"/>
        <w:ind w:left="20" w:right="20" w:firstLine="720"/>
        <w:sectPr w:rsidR="00C64B54" w:rsidSect="009C5A62">
          <w:headerReference w:type="default" r:id="rId9"/>
          <w:headerReference w:type="first" r:id="rId10"/>
          <w:type w:val="continuous"/>
          <w:pgSz w:w="11909" w:h="16838"/>
          <w:pgMar w:top="0" w:right="427" w:bottom="1024" w:left="1701" w:header="0" w:footer="3" w:gutter="0"/>
          <w:cols w:space="720"/>
          <w:noEndnote/>
          <w:titlePg/>
          <w:docGrid w:linePitch="360"/>
        </w:sectPr>
      </w:pPr>
    </w:p>
    <w:p w:rsidR="005C5D4D" w:rsidRDefault="005C5D4D">
      <w:pPr>
        <w:spacing w:line="240" w:lineRule="exact"/>
        <w:rPr>
          <w:sz w:val="19"/>
          <w:szCs w:val="19"/>
        </w:rPr>
      </w:pPr>
    </w:p>
    <w:p w:rsidR="005C5D4D" w:rsidRDefault="005C5D4D">
      <w:pPr>
        <w:spacing w:before="105" w:after="105" w:line="240" w:lineRule="exact"/>
        <w:rPr>
          <w:sz w:val="19"/>
          <w:szCs w:val="19"/>
        </w:rPr>
      </w:pPr>
    </w:p>
    <w:sectPr w:rsidR="005C5D4D" w:rsidSect="00C64B54">
      <w:type w:val="continuous"/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1A4" w:rsidRDefault="004E31A4">
      <w:r>
        <w:separator/>
      </w:r>
    </w:p>
  </w:endnote>
  <w:endnote w:type="continuationSeparator" w:id="0">
    <w:p w:rsidR="004E31A4" w:rsidRDefault="004E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1A4" w:rsidRDefault="004E31A4"/>
  </w:footnote>
  <w:footnote w:type="continuationSeparator" w:id="0">
    <w:p w:rsidR="004E31A4" w:rsidRDefault="004E31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A62" w:rsidRDefault="009C5A62" w:rsidP="009C5A62">
    <w:pPr>
      <w:pStyle w:val="a8"/>
    </w:pPr>
  </w:p>
  <w:p w:rsidR="009C5A62" w:rsidRDefault="009C5A62">
    <w:pPr>
      <w:pStyle w:val="a8"/>
    </w:pPr>
  </w:p>
  <w:p w:rsidR="009C5A62" w:rsidRDefault="009C5A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A62" w:rsidRDefault="009C5A62">
    <w:pPr>
      <w:pStyle w:val="a8"/>
    </w:pPr>
  </w:p>
  <w:p w:rsidR="009C5A62" w:rsidRDefault="009C5A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165E5"/>
    <w:multiLevelType w:val="multilevel"/>
    <w:tmpl w:val="B0B818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C5D4D"/>
    <w:rsid w:val="00262C91"/>
    <w:rsid w:val="004E31A4"/>
    <w:rsid w:val="005630E9"/>
    <w:rsid w:val="005C5D4D"/>
    <w:rsid w:val="007F7AAA"/>
    <w:rsid w:val="009C5A62"/>
    <w:rsid w:val="009E0545"/>
    <w:rsid w:val="00C64B54"/>
    <w:rsid w:val="00D36A14"/>
    <w:rsid w:val="00E00233"/>
    <w:rsid w:val="00F1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7pt-2pt">
    <w:name w:val="Основной текст + 17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34"/>
      <w:szCs w:val="34"/>
      <w:u w:val="single"/>
      <w:lang w:val="uk-UA"/>
    </w:rPr>
  </w:style>
  <w:style w:type="character" w:customStyle="1" w:styleId="Exact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</w:rPr>
  </w:style>
  <w:style w:type="paragraph" w:styleId="a6">
    <w:name w:val="Balloon Text"/>
    <w:basedOn w:val="a"/>
    <w:link w:val="a7"/>
    <w:uiPriority w:val="99"/>
    <w:semiHidden/>
    <w:unhideWhenUsed/>
    <w:rsid w:val="00D36A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6A14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5A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5A62"/>
    <w:rPr>
      <w:color w:val="000000"/>
    </w:rPr>
  </w:style>
  <w:style w:type="paragraph" w:styleId="aa">
    <w:name w:val="footer"/>
    <w:basedOn w:val="a"/>
    <w:link w:val="ab"/>
    <w:uiPriority w:val="99"/>
    <w:unhideWhenUsed/>
    <w:rsid w:val="009C5A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5A6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4331</Words>
  <Characters>2470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2021-02-08T09:35:00Z</dcterms:created>
  <dcterms:modified xsi:type="dcterms:W3CDTF">2021-03-09T11:29:00Z</dcterms:modified>
</cp:coreProperties>
</file>