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36707" w:rsidRDefault="002D743D" w:rsidP="009B4F7A">
      <w:pPr>
        <w:spacing w:after="2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B3670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BB0290" w:rsidRPr="00B3670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січня </w:t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872514"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1F0FCC"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C91A3E" w:rsidRPr="00B36707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B36707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7372F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</w:t>
      </w:r>
      <w:r w:rsidR="00BB029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9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0E4CC8" w:rsidRPr="00B36707" w:rsidRDefault="000E4CC8" w:rsidP="009B4F7A">
      <w:pPr>
        <w:widowControl w:val="0"/>
        <w:spacing w:after="20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складі:</w:t>
      </w:r>
    </w:p>
    <w:p w:rsidR="000E4CC8" w:rsidRPr="00B36707" w:rsidRDefault="000E4CC8" w:rsidP="009B4F7A">
      <w:pPr>
        <w:widowControl w:val="0"/>
        <w:spacing w:after="20" w:line="600" w:lineRule="exac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76021B" w:rsidRPr="00B36707" w:rsidRDefault="0076021B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E4CC8" w:rsidRPr="00B36707" w:rsidRDefault="000E4CC8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 </w:t>
      </w:r>
      <w:r w:rsidR="00C658F5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 Козлова А.Г., Лукаша Т.В.,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r w:rsidR="00B324E9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Прилипка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С.М.,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Тітова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Ю.Г., Устименко В.Є.,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Шилової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Т.С., </w:t>
      </w:r>
      <w:r w:rsidR="00B324E9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Щотки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</w:t>
      </w:r>
      <w:r w:rsidR="009E05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B324E9" w:rsidRPr="00B36707" w:rsidRDefault="00B324E9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E4CC8" w:rsidRPr="00B36707" w:rsidRDefault="000E4CC8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Громадська рада міжнародних експертів у складі:</w:t>
      </w:r>
    </w:p>
    <w:p w:rsidR="00B324E9" w:rsidRPr="00B36707" w:rsidRDefault="00B324E9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E4CC8" w:rsidRPr="00B36707" w:rsidRDefault="000E4CC8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Голови - сера Ентоні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Хупера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B324E9" w:rsidRPr="00B36707" w:rsidRDefault="00B324E9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0E4CC8" w:rsidRPr="00B36707" w:rsidRDefault="008363B1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членів ГРМЕ</w:t>
      </w:r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: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Аурелійуса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Гутаускаса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Флемінга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Денкера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Теда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Зажечни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Мір’яни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Лазарової-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Трайковської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Лорни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Харріс</w:t>
      </w:r>
      <w:proofErr w:type="spellEnd"/>
      <w:r w:rsidR="000E4CC8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</w:p>
    <w:p w:rsidR="00B324E9" w:rsidRPr="00B36707" w:rsidRDefault="00B324E9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BB0290" w:rsidRPr="00B36707" w:rsidRDefault="00BB0290" w:rsidP="00BB0290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на спеціальному спільному засіданні питання про відповідність </w:t>
      </w:r>
      <w:r w:rsidR="00FE4B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кандидата на посаду судді Апеляційної палати Вищого антикорупційного суду </w:t>
      </w:r>
      <w:r w:rsidR="006F444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Боднара Сергія Богдановича критеріям, передбаченим частиною четвертою статті 8 Закону України «Про Вищий антикорупційний суд»,</w:t>
      </w:r>
    </w:p>
    <w:p w:rsidR="00BB0290" w:rsidRPr="00B36707" w:rsidRDefault="00BB0290" w:rsidP="00BB0290">
      <w:pPr>
        <w:widowControl w:val="0"/>
        <w:spacing w:after="254" w:line="250" w:lineRule="exact"/>
        <w:ind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встановили: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Боднар Сергій Богданович у вересні 2018 року звернувся до Комісії із заявою </w:t>
      </w:r>
      <w:r w:rsidR="005C0DD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допуск до участі у конкурсі на зайняття вакантної посади судді Апеляційної </w:t>
      </w:r>
      <w:r w:rsidR="004D29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палати Вищого антикорупційного суду та проведення стосовно нього </w:t>
      </w:r>
      <w:r w:rsidR="004D29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для підтвердження здатності здійснювати правосуддя у відповідному суді як особа, яка відповідає вимогам пункту 2 частини другої статті 7 Закону України «Про Вищий антикорупційний суд», тобто має науковий ступінь у </w:t>
      </w:r>
      <w:r w:rsidR="004D29E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сфері права та стаж наукової роботи у сфері права щонайменше сім років.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08 жовтня 2018 року ухвалено рішення № 112/вс-18, зокрема, про </w:t>
      </w:r>
      <w:r w:rsidR="002F1E6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допуск Боднара С.Б. до проходження кваліфікаційного оцінювання для участі у </w:t>
      </w:r>
      <w:r w:rsidR="002F1E6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конкурсі на зайняття вакантних посад суддів Апеляційної палати Вищого антикорупційного суду.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0D0279" w:rsidRPr="000D0279" w:rsidRDefault="000D0279" w:rsidP="000D0279">
      <w:pPr>
        <w:widowControl w:val="0"/>
        <w:spacing w:after="0" w:line="298" w:lineRule="exact"/>
        <w:ind w:left="20" w:right="20" w:firstLine="72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0D0279">
        <w:rPr>
          <w:rFonts w:ascii="Times New Roman" w:eastAsia="Times New Roman" w:hAnsi="Times New Roman"/>
          <w:color w:val="000000"/>
          <w:lang w:eastAsia="uk-UA"/>
        </w:rPr>
        <w:lastRenderedPageBreak/>
        <w:t>2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</w:t>
      </w:r>
      <w:r w:rsidR="00D0470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12 вакантних посад суддів Апеляційної палати Вищого антикорупційного суду, згідно </w:t>
      </w:r>
      <w:r w:rsidR="002B24F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якими Боднар С.Б. отримав 140 балів. Цим же рішенням Боднара С.Б.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</w:t>
      </w:r>
      <w:r w:rsidR="006E2EF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палати Вищого антикорупційного суду.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статті 8 Закону України «Про Вищий антикорупційний суд» та </w:t>
      </w:r>
      <w:r w:rsidRPr="0084396C">
        <w:rPr>
          <w:rFonts w:ascii="Times New Roman" w:eastAsia="Times New Roman" w:hAnsi="Times New Roman"/>
          <w:bCs/>
          <w:color w:val="000000"/>
          <w:sz w:val="25"/>
          <w:szCs w:val="25"/>
          <w:lang w:eastAsia="uk-UA"/>
        </w:rPr>
        <w:t>підпункту</w:t>
      </w:r>
      <w:r w:rsidRPr="00B36707">
        <w:rPr>
          <w:rFonts w:ascii="Times New Roman" w:eastAsia="Times New Roman" w:hAnsi="Times New Roman"/>
          <w:b/>
          <w:bCs/>
          <w:color w:val="000000"/>
          <w:sz w:val="25"/>
          <w:szCs w:val="25"/>
          <w:lang w:eastAsia="uk-UA"/>
        </w:rPr>
        <w:t xml:space="preserve">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4.11.5 пункту 4.11 розділу IV Регламенту Вищої кваліфікаційної комісії </w:t>
      </w:r>
      <w:r w:rsidR="00F40FC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</w:t>
      </w:r>
      <w:r w:rsidR="00F40FC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Боднара С.Б.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саме, що мати кандидата працює інспектором відділу </w:t>
      </w:r>
      <w:r w:rsidR="00050A0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логістики у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Чортківському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відділенні поліції, а його брат -</w:t>
      </w:r>
    </w:p>
    <w:p w:rsidR="00BB0290" w:rsidRPr="00B36707" w:rsidRDefault="00BB0290" w:rsidP="00BB0290">
      <w:pPr>
        <w:widowControl w:val="0"/>
        <w:spacing w:after="0" w:line="298" w:lineRule="exact"/>
        <w:ind w:right="20"/>
        <w:jc w:val="right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зі статтею 61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Закону України «Про судоустрій та статус суддів», суддя зобов’язаний декларувати інформацію про родичів, які займають або займали протягом останніх п’яти років </w:t>
      </w:r>
      <w:r w:rsidR="00050A0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посади працівників правоохоронних органів, які включають Національну поліцію України та Службу безпеки України. Кандидат не задекларував інформацію щодо цих родичів та їхніх нинішніх посад/посад у минулому у цих органах у декларації </w:t>
      </w:r>
      <w:r w:rsidR="00050A01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родинних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 2013-2017 роки.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Також зазначено, що у 2017 році кандидат представляв районну організацію політичної партії в суді як юрист. За словами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Боднара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С.Б. її представники звернулися</w:t>
      </w:r>
      <w:r w:rsidR="004F5B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до нього із таким проханням, і він погодився. Кандидат визнає, що діяв за </w:t>
      </w:r>
      <w:r w:rsidR="004F5BA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довіреністю, проте не надав копію цього документа. Він відповів, що робив це безоплатно.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наведених в інформаційній записці обставин,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Боднарем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С.Б. надано</w:t>
      </w:r>
      <w:r w:rsidR="0013640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усні та</w:t>
      </w:r>
      <w:r w:rsidR="007479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письмові пояснення, підтверджу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вальні документи, з яких вбачається таке.</w:t>
      </w:r>
    </w:p>
    <w:p w:rsidR="00BB0290" w:rsidRPr="00B36707" w:rsidRDefault="00BB0290" w:rsidP="00FB75DC">
      <w:pPr>
        <w:widowControl w:val="0"/>
        <w:tabs>
          <w:tab w:val="left" w:pos="4254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місце роботи своєї матері,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Боднар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Ірини Петрівни, та про те, що брат кандидата є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  <w:t>ним вказано у всіх необхідних документах,</w:t>
      </w:r>
      <w:r w:rsidR="00FB75D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поданих до Комісії для участі у конкурсі на посаду судді Апеляційної палати Вищого антикорупційного суду, що, на думку кандидата, свідчить про відсутність намірів приховати відомості про родинні зв’язки із вказаними особами.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Мати кандидата з березня 1987 року по січень 2018 року перебувала на посадах бухгалтерського складу, тобто виконувала виключно функції з обслуговування діяльності працівників державного органу, яка не передбачає здійснення </w:t>
      </w:r>
      <w:r w:rsidR="008376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повноважень, безпосередньо пов’язаних із виконанням завдань та функцій, </w:t>
      </w:r>
      <w:r w:rsidR="0083766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покладених на правоохоронний орган. Допуску до державної таємниці та військових (поліцейських) звань і чинів не мала.</w:t>
      </w:r>
    </w:p>
    <w:p w:rsidR="00FB7945" w:rsidRPr="00FB7945" w:rsidRDefault="00FB7945" w:rsidP="00FB7945">
      <w:pPr>
        <w:widowControl w:val="0"/>
        <w:spacing w:after="0" w:line="298" w:lineRule="exact"/>
        <w:ind w:left="20" w:right="20" w:firstLine="70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FB7945">
        <w:rPr>
          <w:rFonts w:ascii="Times New Roman" w:eastAsia="Times New Roman" w:hAnsi="Times New Roman"/>
          <w:color w:val="000000"/>
          <w:lang w:eastAsia="uk-UA"/>
        </w:rPr>
        <w:lastRenderedPageBreak/>
        <w:t>3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 січня 2018 року вона була призначена на посаду провідного інспектора</w:t>
      </w:r>
      <w:r w:rsidR="001B7E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сектору логістики та матеріально-технічного забезпечення, яка не виконує функції атестованого складу правоохоронних органів і не має допуску до державної таємниці, </w:t>
      </w:r>
      <w:r w:rsidR="001B7E7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не передбачає військових (поліцейських) звань і чинів.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підтвердження вказаного кандидатом надано копію довідки Головного управління Національної поліції в Тернопільській області від 29 грудня 2018 року № 3133/2/05/2018.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зв’язку з викладеним у декларації родинних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кандидатом не було</w:t>
      </w:r>
      <w:r w:rsidR="0040553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вказано на належність його матері до посадових осіб правоохоронних органів.</w:t>
      </w:r>
    </w:p>
    <w:p w:rsidR="00BB0290" w:rsidRPr="00B36707" w:rsidRDefault="00BB0290" w:rsidP="00BB0290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Брат кандидата є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26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Інформації про те, чи займає він певну посаду, братом не </w:t>
      </w:r>
      <w:r w:rsidR="00296D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надано, інших можливостей у кандидата отримати інформацію про те, чи перебуває</w:t>
      </w:r>
      <w:r w:rsidR="00296D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його брат на певній посаді, не було. Оскільки питання у декларації передбачає</w:t>
      </w:r>
      <w:r w:rsidR="00296D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надання чіткої відповіді про зайняття посад, то відсутність інформації про це могла б зумовити подання кандидатом недостовірної інформації у декларації родинних </w:t>
      </w:r>
      <w:r w:rsidR="00296D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Надаючи оцінку наведеним обставинам Комісія та ГРМЕ виходить з того, що необхідність внесення до декларації родинних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відомостей, передбачених підпунктом е) пункту 2 частини другою статті 61 Закону України «Про судоустрій і статус суддів» обумовлена специфікою діяльності правоохоронного органу та </w:t>
      </w:r>
      <w:r w:rsidR="007B2F0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передбачає здійснення його працівником покладених на орган специфічних функцій.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Оскільки мати кандидата є працівником, який не має спеціального звання та не виконує обов’язків і завдань, передбачених спеціальним законодавством для даного органу, а кандидат у конкурсних документах, зокрема анкеті, не приховував місце її роботи, вказане пояснює не зазначення таких відомостей у декларації родинних </w:t>
      </w:r>
      <w:r w:rsidR="007A648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 дії кандидата по заповненню такої декларації були добросовісними.</w:t>
      </w:r>
    </w:p>
    <w:p w:rsidR="00BB0290" w:rsidRPr="00B36707" w:rsidRDefault="00BB0290" w:rsidP="00BB0290">
      <w:pPr>
        <w:widowControl w:val="0"/>
        <w:tabs>
          <w:tab w:val="left" w:pos="6630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Стосовно не зазначення у декларації родинних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інформації про брата кандидата, який є працівником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  <w:t>під час засідання кандидат</w:t>
      </w:r>
    </w:p>
    <w:p w:rsidR="00BB0290" w:rsidRPr="00B36707" w:rsidRDefault="00BB0290" w:rsidP="00BB0290">
      <w:pPr>
        <w:widowControl w:val="0"/>
        <w:spacing w:after="204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повідомив, що відомості про посаду, яку займає його брат, належать до інформації з обмеженим доступом та є службовою інформацією</w:t>
      </w:r>
    </w:p>
    <w:p w:rsidR="00BB0290" w:rsidRPr="00B36707" w:rsidRDefault="00BB0290" w:rsidP="00BB0290">
      <w:pPr>
        <w:widowControl w:val="0"/>
        <w:tabs>
          <w:tab w:val="left" w:pos="5084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а також неузгодженість норм законодавства, у </w:t>
      </w:r>
      <w:r w:rsidR="00B709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кандидата були відсутні підстави та можливість для відображення відомостей про</w:t>
      </w:r>
      <w:r w:rsidR="00B7099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роботу його брата у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декларації родинних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Щодо представництва районної організації політичної партії в суді, кандидатом зазначено, що відповідно до статті 2 Закону України «Про політичні партії в Україні» політична партія - це зареєстроване згідно з законом добровільне об’єднання </w:t>
      </w:r>
      <w:r w:rsidR="0070641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громадян - прихильників певної загальнонаціональної програми суспільного</w:t>
      </w:r>
      <w:r w:rsidR="00195AA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розвитку, що має своєю метою сприяння формуванню і вираженню політичної волі громадян, бере участь у виборах та інших політичних заходах.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sectPr w:rsidR="00BB0290" w:rsidRPr="00B36707" w:rsidSect="00BB0290">
          <w:headerReference w:type="even" r:id="rId9"/>
          <w:pgSz w:w="11909" w:h="16838"/>
          <w:pgMar w:top="1128" w:right="1115" w:bottom="918" w:left="1126" w:header="0" w:footer="3" w:gutter="0"/>
          <w:cols w:space="720"/>
          <w:noEndnote/>
          <w:docGrid w:linePitch="360"/>
        </w:sect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Абзац другий статті 3 вказаного Закону вказує, що політичні партії в Україні створюються і діють тільки із всеукраїнським статусом. Тобто, закон розмежовує </w:t>
      </w:r>
    </w:p>
    <w:p w:rsidR="00B92209" w:rsidRPr="00090C7C" w:rsidRDefault="00090C7C" w:rsidP="00090C7C">
      <w:pPr>
        <w:widowControl w:val="0"/>
        <w:spacing w:after="0" w:line="298" w:lineRule="exact"/>
        <w:ind w:left="20" w:right="20" w:firstLine="70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090C7C">
        <w:rPr>
          <w:rFonts w:ascii="Times New Roman" w:eastAsia="Times New Roman" w:hAnsi="Times New Roman"/>
          <w:color w:val="000000"/>
          <w:lang w:eastAsia="uk-UA"/>
        </w:rPr>
        <w:lastRenderedPageBreak/>
        <w:t>4</w:t>
      </w:r>
    </w:p>
    <w:p w:rsidR="00BB0290" w:rsidRPr="00B36707" w:rsidRDefault="00BB0290" w:rsidP="00090C7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поняття політичної партії та місцевих організації партій (як їх керівних органів), як різних суб’єктів із різним правовим статусом.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2 частини четвертої статті 7 Закону України «Про Вищий антикорупційний суд», не може бути призначена суддею Вищого антикорупційного</w:t>
      </w:r>
      <w:r w:rsidR="00423AD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суду особа, яка упродовж останніх п’яти років входила до складу керівних органів політичної партії або перебувала у трудових чи інших договірних відносинах з політичною партією.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Представництво в суді інтересів місцевої організації партії здійснювалось на безоплатній основі на підставі довіреності, виданої позивачем в порядку статті 59 Кодексу адміністративного судочинства України, а не на підставі договору представництва у цивільно-правових відносинах.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Оскільки кандидат протягом останніх п’яти років не мав договірних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 політичною партією, то відсутні правові підстави щодо застосування до нього, як кандидата, вказаних обмежень та недопущення до подальшої участі в конкурсі на</w:t>
      </w:r>
      <w:r w:rsidR="00EC68E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посаду судді Апеляційної палати Вищого антикорупційного суду.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ході дослідження досьє кандидата встановлено, що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Боднарем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С.Б. у </w:t>
      </w:r>
      <w:r w:rsidR="002B299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листопаді 2017 року здійснювалося представництво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Новоселицької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районної в Чернівецькій області організації політичної партії «Блок Петра Порошенка «Солідарність» під час розгляду адміністративної справи за позовом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Новоселицької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районної в Чернівецькій області організації політичної партії «Блок Петра Порошенка «Солідарність» до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Новоселицької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районної виборчої комісії Чернівецької області про визнання протиправними дій, визнання протиправною та скасування постанов, зобов’язання вчинити дії (справа № 824/862/17-а).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запит Комісії Чернівецьким окружним адміністративним судом надано</w:t>
      </w:r>
      <w:r w:rsidR="00D85FD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копію довіреності від 11 листопада 2017 року на підставі якої Боднар С.Б. здійснював представництво у вказаній справі.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Аргументи кандидата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стовно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того, що закон розмежовує поняття політичної 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партії та місцевих організацій партії як різних суб’єктів із різним правовим статусом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не можуть бути взяті до уваги, оскільки відповідно до статей 8, 9 Закону України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«Про політичні партії в Україні» обласні, міські, районні організації, первинні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осередки політичної партії та інші структурні утворення, передбачені статутом партії, використовують повне найменування політичної партії з доповненнями, які 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визначають їх місце в організаційній структурі політичної партії, а порядок їх 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створення, загальна структура та повноваження визначається статутом політичної </w:t>
      </w:r>
      <w:r w:rsidR="00EE12D6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партії. Водночас статтею 21 вказаного Закону визначено, що заборона діяльності політичної партії тягне за собою припинення діяльності політичної партії, розпуск її керівних органів, обласних, міських, районних організацій і первинних осередків та інших структурних утворень, передбачених статутом партії. Тобто функціонування та діяльність обласних, міських, районних організацій політичної партії нерозривно пов’язано із діяльністю політичної партії як такої.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Щодо здійснення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Боднарем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С.Б. представництва політичної партії у суді, при оцінці даної обставини Комісія та Рада виходить з того, що таке представництво здійснювалося кандидатом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разово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 така діяльність не є його основним видом</w:t>
      </w:r>
      <w:r w:rsidR="004F52B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діяльності, не передбачає наявності стійких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зв’язків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трудових відносин із партією та інших взаємних зобов’язань, зокрема фінансових, а тому не може свідчити про застосування до кандидата обмежень, передбачених частиною четвертою статті 7 </w:t>
      </w:r>
      <w:r w:rsidR="004F52B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 України «Про вищий антикорупційний суд».</w:t>
      </w:r>
    </w:p>
    <w:p w:rsidR="00C47D11" w:rsidRDefault="00BB0290" w:rsidP="00AE3D47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 ході дослідження досьє кандидата та під час спеціального засідання також встановлено, що під час виборів народних депутатів України 28 жовтня 2012 року та</w:t>
      </w:r>
      <w:r w:rsidR="00AE3D4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</w:p>
    <w:p w:rsidR="00C47D11" w:rsidRDefault="00C47D11" w:rsidP="00C47D11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4466B4" w:rsidRPr="004466B4" w:rsidRDefault="004466B4" w:rsidP="004466B4">
      <w:pPr>
        <w:widowControl w:val="0"/>
        <w:spacing w:after="0" w:line="298" w:lineRule="exact"/>
        <w:ind w:left="20" w:right="2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4466B4">
        <w:rPr>
          <w:rFonts w:ascii="Times New Roman" w:eastAsia="Times New Roman" w:hAnsi="Times New Roman"/>
          <w:color w:val="000000"/>
          <w:lang w:eastAsia="uk-UA"/>
        </w:rPr>
        <w:lastRenderedPageBreak/>
        <w:t>5</w:t>
      </w:r>
    </w:p>
    <w:p w:rsidR="00BB0290" w:rsidRPr="00B36707" w:rsidRDefault="00BB0290" w:rsidP="00C47D11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26 жовтня 2014 року Боднар С.Б. виконував обов’язки голови окружної виборчої </w:t>
      </w:r>
      <w:r w:rsidR="0050530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комісії виборчого округу в Чернівецькій області.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Кандидатом дані обставини підтверджено та зазначено, що членства у партіях, </w:t>
      </w:r>
      <w:r w:rsidR="00AF622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які були суб’єктом подання його кандидатури, не мав, а був висунутий як особа, що відповідає визначеним законом критеріям, зокрема частини п’ятої статті 27 Закону України «Про вибори народних депутатів України» щодо досвіду роботи, освіти </w:t>
      </w:r>
      <w:r w:rsidR="00E94DB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тощо.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Відповідно до частини третьої статті 26 «Про вибори народних депутатів України» до складу окружної чи дільничної виборчої комісії не можуть входити, зокрема, кандидати у депутати, представники партій у Центральній виборчій комісії, уповноважені особи партій, довірені особи кандидатів у депутати в одномандатному окрузі, офіційні спостерігачі, посадові та службові особи органів державної влади, органів влади Автономної Республіки Крим та органів місцевого самоврядування, працівники судів та правоохоронних органів.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Ураховуючи викладене, виконання кандидатом обов’язків голови окружної виборчої комісії не може свідчити про його упередженість, наявність певних </w:t>
      </w:r>
      <w:r w:rsidR="000D115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політичних вподобань чи вказувати на невідповідність кандидата критерію </w:t>
      </w:r>
      <w:r w:rsidR="00EB132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політичної нейтральності, здійснення такої діяльності є лише реалізацією кандидатом </w:t>
      </w:r>
      <w:r w:rsidR="000D115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свого права як громадянина України.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 Комісії надійшло звернення декана юридичного факультету Чернівецького національного університету імені Юрія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Федьковича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, професора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Пацурківського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 стосовно Боднара С.Б., у якому наводилася інформація щодо можливої недоброчесної поведінки кандидата під час роботи на кафедрі публічного права юридичного факультету, зокрема його участі у програмі «Професійний медіатор» та проведення підготовки слухачів у сфері медіації. Комісією направлено запит заявнику щодо </w:t>
      </w:r>
      <w:r w:rsidR="0082752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надання документів на підтвердження викладених у зверненні обставин, проте на час співбесіди із кандидатом відповіді отримано не було.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пояснення, надані кандидатом письмово і під час спеціального засідання щодо обставин, викладених у зверненні, а також відсутність документів на підтвердження цих обставин, Комісія та Рада критично ставляться до зазначеного звернення.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</w:t>
      </w:r>
      <w:r w:rsidR="00C543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ним усні та письмові пояснення, інші обставини, обговорені під час засідання, у </w:t>
      </w:r>
      <w:r w:rsidR="00C543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членів Комісії та Ради не лишилося обґрунтованого сумніву щодо відповідності</w:t>
      </w:r>
      <w:r w:rsidR="00C5433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Боднара С.Б. критеріям, передбаченим частиною четвертою статті 8 Закону України «Про Вищий антикорупційний суд».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відповідно до вимог підпункту 4.11.10 пункту 4.11 розділу IV Регламенту на голосування членів Комісії та Ради винесено питання щодо того: «Чи відповідає кандидат критеріям, передбаченим частиною четвертою статті 8 Закону «Про Вищий антикорупційний суд»?».</w:t>
      </w:r>
    </w:p>
    <w:p w:rsidR="00BB0290" w:rsidRPr="00B36707" w:rsidRDefault="00BB0290" w:rsidP="00BB029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голосування членів Комісії та ГРМЕ рішення щодо</w:t>
      </w:r>
      <w:r w:rsidR="00102DE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відповідності кандидата на посаду судді Апеляційної палати Вищого</w:t>
      </w:r>
      <w:r w:rsidR="00102DE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антикорупційного суду Боднара С.Б. критеріям, визначеним статтею 8 Закону </w:t>
      </w:r>
      <w:r w:rsidR="00102DE5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 «Про Вищий антикорупційний суд», набрало установлену цією статтею кількість голосів. У зв’язку з вказаним кандидат має бути визнаний таким, що допущений до етапу кваліфікаційного оцінювання «Дослідження досьє та проведення співбесіди» у межах конкурсу на посаду судді Апеляційної палати Вищого антикорупційного суду.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br w:type="page"/>
      </w:r>
    </w:p>
    <w:p w:rsidR="0010094D" w:rsidRPr="0010094D" w:rsidRDefault="0010094D" w:rsidP="0010094D">
      <w:pPr>
        <w:widowControl w:val="0"/>
        <w:spacing w:after="334" w:line="293" w:lineRule="exact"/>
        <w:ind w:firstLine="720"/>
        <w:jc w:val="center"/>
        <w:rPr>
          <w:rFonts w:ascii="Times New Roman" w:eastAsia="Times New Roman" w:hAnsi="Times New Roman"/>
          <w:color w:val="000000"/>
          <w:lang w:eastAsia="uk-UA"/>
        </w:rPr>
      </w:pPr>
      <w:r w:rsidRPr="0010094D">
        <w:rPr>
          <w:rFonts w:ascii="Times New Roman" w:eastAsia="Times New Roman" w:hAnsi="Times New Roman"/>
          <w:color w:val="000000"/>
          <w:lang w:eastAsia="uk-UA"/>
        </w:rPr>
        <w:lastRenderedPageBreak/>
        <w:t>6</w:t>
      </w:r>
    </w:p>
    <w:p w:rsidR="00BB0290" w:rsidRPr="00B36707" w:rsidRDefault="00BB0290" w:rsidP="00BB0290">
      <w:pPr>
        <w:widowControl w:val="0"/>
        <w:spacing w:after="334" w:line="293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ГРМЕ</w:t>
      </w:r>
    </w:p>
    <w:p w:rsidR="00BB0290" w:rsidRPr="00B36707" w:rsidRDefault="00BB0290" w:rsidP="00BB0290">
      <w:pPr>
        <w:widowControl w:val="0"/>
        <w:spacing w:after="19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вирішили:</w:t>
      </w:r>
    </w:p>
    <w:p w:rsidR="00BB0290" w:rsidRPr="00B36707" w:rsidRDefault="00BB0290" w:rsidP="00BB0290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 про те, що кандидат на посаду судді Апеляційної палати Вищого антикорупційного суду </w:t>
      </w:r>
      <w:proofErr w:type="spellStart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>Боднар</w:t>
      </w:r>
      <w:proofErr w:type="spellEnd"/>
      <w:r w:rsidRPr="00B36707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Сергій Богданович відповідає критеріям, визначеним статтею 8 Закону України «Про Вищий антикорупційний суд», набрало установлену </w:t>
      </w:r>
      <w:r w:rsidR="000C2B7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</w:t>
      </w:r>
      <w:r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цією статтею кількість голосів.</w:t>
      </w:r>
    </w:p>
    <w:p w:rsidR="00244DAF" w:rsidRPr="00B36707" w:rsidRDefault="00BB0290" w:rsidP="00BB0290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B3670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Визнати кандидата на посаду судді Апеляційної палати Вищого</w:t>
      </w:r>
      <w:r w:rsidR="009E3BC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</w:t>
      </w:r>
      <w:r w:rsidRPr="00B3670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антикорупційного суду Боднара Сергія Богдановича таким, що допущений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Апеляційної </w:t>
      </w:r>
      <w:r w:rsidR="0006314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</w:t>
      </w:r>
      <w:r w:rsidRPr="00B36707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палати Вищого антикорупційного суду</w:t>
      </w:r>
      <w:r w:rsidR="00244DAF" w:rsidRPr="00B3670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.</w:t>
      </w:r>
    </w:p>
    <w:p w:rsidR="00D408B6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244DAF" w:rsidRPr="00B36707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408B6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</w:t>
      </w:r>
      <w:r w:rsidR="0059492C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</w:t>
      </w:r>
      <w:r w:rsidR="004620DE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443909" w:rsidRPr="00B36707">
        <w:rPr>
          <w:rFonts w:ascii="Times New Roman" w:eastAsia="Times New Roman" w:hAnsi="Times New Roman"/>
          <w:sz w:val="25"/>
          <w:szCs w:val="25"/>
          <w:lang w:eastAsia="uk-UA"/>
        </w:rPr>
        <w:t>Голова</w:t>
      </w:r>
    </w:p>
    <w:p w:rsidR="00D408B6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408B6" w:rsidRPr="00B36707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С.Ю. </w:t>
      </w:r>
      <w:proofErr w:type="spellStart"/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>Козьяков</w:t>
      </w:r>
      <w:proofErr w:type="spellEnd"/>
      <w:r w:rsidR="00D408B6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</w:t>
      </w:r>
      <w:r w:rsidR="007B3F3F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</w:t>
      </w:r>
      <w:r w:rsidR="007B3F3F"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</w:t>
      </w:r>
      <w:r w:rsidR="000B509E">
        <w:rPr>
          <w:rFonts w:ascii="Times New Roman" w:eastAsia="Times New Roman" w:hAnsi="Times New Roman"/>
          <w:sz w:val="25"/>
          <w:szCs w:val="25"/>
          <w:lang w:val="ru-RU" w:eastAsia="uk-UA"/>
        </w:rPr>
        <w:t>С</w:t>
      </w: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ер Е. </w:t>
      </w:r>
      <w:proofErr w:type="spellStart"/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>Хупер</w:t>
      </w:r>
      <w:proofErr w:type="spellEnd"/>
    </w:p>
    <w:p w:rsidR="00580068" w:rsidRPr="00B36707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192344" w:rsidRPr="00B36707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D408B6" w:rsidRPr="00B36707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</w:t>
      </w:r>
      <w:r w:rsidR="009F184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</w:t>
      </w:r>
      <w:r w:rsidR="004D6202">
        <w:rPr>
          <w:rFonts w:ascii="Times New Roman" w:eastAsia="Times New Roman" w:hAnsi="Times New Roman"/>
          <w:sz w:val="25"/>
          <w:szCs w:val="25"/>
          <w:lang w:eastAsia="uk-UA"/>
        </w:rPr>
        <w:t>Члени ГРМЕ</w:t>
      </w:r>
      <w:bookmarkStart w:id="0" w:name="_GoBack"/>
      <w:bookmarkEnd w:id="0"/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>:</w:t>
      </w:r>
    </w:p>
    <w:p w:rsidR="00D408B6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F128A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B36707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</w:t>
      </w:r>
      <w:r w:rsidR="00C07DA0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А.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Гутаускас</w:t>
      </w:r>
      <w:proofErr w:type="spellEnd"/>
    </w:p>
    <w:p w:rsidR="00BF128A" w:rsidRPr="00B36707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</w:t>
      </w:r>
      <w:r w:rsidR="00C07DA0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Ф.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Денкер</w:t>
      </w:r>
      <w:proofErr w:type="spellEnd"/>
    </w:p>
    <w:p w:rsidR="00BF128A" w:rsidRPr="00B36707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</w:t>
      </w:r>
      <w:r w:rsidR="00C07DA0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Т.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Зажечни</w:t>
      </w:r>
      <w:proofErr w:type="spellEnd"/>
    </w:p>
    <w:p w:rsidR="00BF128A" w:rsidRPr="00B36707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</w:t>
      </w: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6A64BF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</w:t>
      </w:r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>М. Лазарова-</w:t>
      </w:r>
      <w:proofErr w:type="spellStart"/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>Трайковська</w:t>
      </w:r>
      <w:proofErr w:type="spellEnd"/>
    </w:p>
    <w:p w:rsidR="00BF128A" w:rsidRPr="00B36707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E807C2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E807C2" w:rsidRPr="00B36707">
        <w:rPr>
          <w:rFonts w:ascii="Times New Roman" w:eastAsia="Times New Roman" w:hAnsi="Times New Roman"/>
          <w:sz w:val="25"/>
          <w:szCs w:val="25"/>
          <w:lang w:eastAsia="uk-UA"/>
        </w:rPr>
        <w:t>Заріц</w:t>
      </w:r>
      <w:r w:rsidR="00BF128A" w:rsidRPr="00B36707">
        <w:rPr>
          <w:rFonts w:ascii="Times New Roman" w:eastAsia="Times New Roman" w:hAnsi="Times New Roman"/>
          <w:sz w:val="25"/>
          <w:szCs w:val="25"/>
          <w:lang w:eastAsia="uk-UA"/>
        </w:rPr>
        <w:t>ька</w:t>
      </w:r>
      <w:proofErr w:type="spellEnd"/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</w:t>
      </w: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</w:t>
      </w:r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Л. </w:t>
      </w:r>
      <w:proofErr w:type="spellStart"/>
      <w:r w:rsidR="008A6DE4" w:rsidRPr="00B36707">
        <w:rPr>
          <w:rFonts w:ascii="Times New Roman" w:eastAsia="Times New Roman" w:hAnsi="Times New Roman"/>
          <w:sz w:val="25"/>
          <w:szCs w:val="25"/>
          <w:lang w:eastAsia="uk-UA"/>
        </w:rPr>
        <w:t>Харріс</w:t>
      </w:r>
      <w:proofErr w:type="spellEnd"/>
    </w:p>
    <w:p w:rsidR="00BF128A" w:rsidRPr="00B36707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9C0F0B" w:rsidRPr="00B36707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П.С.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Луцюк</w:t>
      </w:r>
      <w:proofErr w:type="spellEnd"/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9C0F0B" w:rsidRPr="00B36707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6707">
        <w:rPr>
          <w:rFonts w:ascii="Times New Roman" w:eastAsia="Times New Roman" w:hAnsi="Times New Roman"/>
          <w:sz w:val="25"/>
          <w:szCs w:val="25"/>
          <w:lang w:val="ru-RU" w:eastAsia="uk-UA"/>
        </w:rPr>
        <w:t xml:space="preserve">                          </w:t>
      </w:r>
      <w:r w:rsidR="00E807C2" w:rsidRPr="00B36707">
        <w:rPr>
          <w:rFonts w:ascii="Times New Roman" w:eastAsia="Times New Roman" w:hAnsi="Times New Roman"/>
          <w:sz w:val="25"/>
          <w:szCs w:val="25"/>
          <w:lang w:eastAsia="uk-UA"/>
        </w:rPr>
        <w:t xml:space="preserve">С.О. </w:t>
      </w:r>
      <w:proofErr w:type="spellStart"/>
      <w:r w:rsidR="00E807C2" w:rsidRPr="00B36707">
        <w:rPr>
          <w:rFonts w:ascii="Times New Roman" w:eastAsia="Times New Roman" w:hAnsi="Times New Roman"/>
          <w:sz w:val="25"/>
          <w:szCs w:val="25"/>
          <w:lang w:eastAsia="uk-UA"/>
        </w:rPr>
        <w:t>Щ</w:t>
      </w:r>
      <w:r w:rsidR="009C0F0B" w:rsidRPr="00B36707">
        <w:rPr>
          <w:rFonts w:ascii="Times New Roman" w:eastAsia="Times New Roman" w:hAnsi="Times New Roman"/>
          <w:sz w:val="25"/>
          <w:szCs w:val="25"/>
          <w:lang w:eastAsia="uk-UA"/>
        </w:rPr>
        <w:t>отка</w:t>
      </w:r>
      <w:proofErr w:type="spellEnd"/>
    </w:p>
    <w:p w:rsidR="00D408B6" w:rsidRPr="00B36707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D408B6" w:rsidRPr="00B36707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3B9" w:rsidRDefault="000663B9" w:rsidP="002F156E">
      <w:pPr>
        <w:spacing w:after="0" w:line="240" w:lineRule="auto"/>
      </w:pPr>
      <w:r>
        <w:separator/>
      </w:r>
    </w:p>
  </w:endnote>
  <w:endnote w:type="continuationSeparator" w:id="0">
    <w:p w:rsidR="000663B9" w:rsidRDefault="000663B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3B9" w:rsidRDefault="000663B9" w:rsidP="002F156E">
      <w:pPr>
        <w:spacing w:after="0" w:line="240" w:lineRule="auto"/>
      </w:pPr>
      <w:r>
        <w:separator/>
      </w:r>
    </w:p>
  </w:footnote>
  <w:footnote w:type="continuationSeparator" w:id="0">
    <w:p w:rsidR="000663B9" w:rsidRDefault="000663B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290" w:rsidRDefault="000663B9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46.45pt;width:4.3pt;height:6.95pt;z-index:-2516577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B0290" w:rsidRDefault="00BB0290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0645B">
                  <w:rPr>
                    <w:rStyle w:val="a9"/>
                    <w:rFonts w:eastAsia="Calibri"/>
                    <w:noProof/>
                  </w:rPr>
                  <w:t>2</w:t>
                </w:r>
                <w:r>
                  <w:rPr>
                    <w:rStyle w:val="a9"/>
                    <w:rFonts w:eastAsia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3E5F"/>
    <w:rsid w:val="000306D3"/>
    <w:rsid w:val="00037A70"/>
    <w:rsid w:val="00044477"/>
    <w:rsid w:val="00050A01"/>
    <w:rsid w:val="00061B5E"/>
    <w:rsid w:val="00062ACF"/>
    <w:rsid w:val="00063147"/>
    <w:rsid w:val="000663B9"/>
    <w:rsid w:val="00090C7C"/>
    <w:rsid w:val="00094CB8"/>
    <w:rsid w:val="000A61D0"/>
    <w:rsid w:val="000B0876"/>
    <w:rsid w:val="000B509E"/>
    <w:rsid w:val="000B731A"/>
    <w:rsid w:val="000C29C6"/>
    <w:rsid w:val="000C2B74"/>
    <w:rsid w:val="000D0279"/>
    <w:rsid w:val="000D1155"/>
    <w:rsid w:val="000E4CC8"/>
    <w:rsid w:val="000E62AF"/>
    <w:rsid w:val="000F4C37"/>
    <w:rsid w:val="0010094D"/>
    <w:rsid w:val="00102DE5"/>
    <w:rsid w:val="00106B7B"/>
    <w:rsid w:val="00106FDD"/>
    <w:rsid w:val="00107295"/>
    <w:rsid w:val="0011327F"/>
    <w:rsid w:val="001223BD"/>
    <w:rsid w:val="00126C97"/>
    <w:rsid w:val="00132725"/>
    <w:rsid w:val="00136405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95AA5"/>
    <w:rsid w:val="001A0529"/>
    <w:rsid w:val="001A055A"/>
    <w:rsid w:val="001A7922"/>
    <w:rsid w:val="001B3982"/>
    <w:rsid w:val="001B69EE"/>
    <w:rsid w:val="001B7E73"/>
    <w:rsid w:val="001C0E17"/>
    <w:rsid w:val="001C2BB4"/>
    <w:rsid w:val="001D04E7"/>
    <w:rsid w:val="001D126F"/>
    <w:rsid w:val="001D25BA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6D8E"/>
    <w:rsid w:val="00297991"/>
    <w:rsid w:val="002B24F9"/>
    <w:rsid w:val="002B299E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2F1E6E"/>
    <w:rsid w:val="00305F40"/>
    <w:rsid w:val="00312B07"/>
    <w:rsid w:val="00324329"/>
    <w:rsid w:val="00332668"/>
    <w:rsid w:val="00336170"/>
    <w:rsid w:val="00341101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873"/>
    <w:rsid w:val="003F4C4A"/>
    <w:rsid w:val="003F5230"/>
    <w:rsid w:val="004025DD"/>
    <w:rsid w:val="0040553D"/>
    <w:rsid w:val="00407903"/>
    <w:rsid w:val="0041519A"/>
    <w:rsid w:val="00423AD5"/>
    <w:rsid w:val="00426B9E"/>
    <w:rsid w:val="00443909"/>
    <w:rsid w:val="004466B4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D29EF"/>
    <w:rsid w:val="004D6202"/>
    <w:rsid w:val="004F5123"/>
    <w:rsid w:val="004F52BE"/>
    <w:rsid w:val="004F5BA2"/>
    <w:rsid w:val="004F73FF"/>
    <w:rsid w:val="0050530E"/>
    <w:rsid w:val="00520DF7"/>
    <w:rsid w:val="00525035"/>
    <w:rsid w:val="0052631A"/>
    <w:rsid w:val="00527CC8"/>
    <w:rsid w:val="00545AB0"/>
    <w:rsid w:val="005535F1"/>
    <w:rsid w:val="00557849"/>
    <w:rsid w:val="00580068"/>
    <w:rsid w:val="005806E6"/>
    <w:rsid w:val="00590311"/>
    <w:rsid w:val="0059492C"/>
    <w:rsid w:val="005979E5"/>
    <w:rsid w:val="005A6DFD"/>
    <w:rsid w:val="005B58CE"/>
    <w:rsid w:val="005C0DD8"/>
    <w:rsid w:val="005C6246"/>
    <w:rsid w:val="005C7042"/>
    <w:rsid w:val="005E205E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E2C"/>
    <w:rsid w:val="00675595"/>
    <w:rsid w:val="00683234"/>
    <w:rsid w:val="0069505A"/>
    <w:rsid w:val="006A53F6"/>
    <w:rsid w:val="006A64BF"/>
    <w:rsid w:val="006B2F01"/>
    <w:rsid w:val="006C151D"/>
    <w:rsid w:val="006C2867"/>
    <w:rsid w:val="006D057C"/>
    <w:rsid w:val="006D38EB"/>
    <w:rsid w:val="006E1E86"/>
    <w:rsid w:val="006E2EFF"/>
    <w:rsid w:val="006F4446"/>
    <w:rsid w:val="006F5F6C"/>
    <w:rsid w:val="006F76D3"/>
    <w:rsid w:val="006F7EDA"/>
    <w:rsid w:val="00702C1B"/>
    <w:rsid w:val="0070641E"/>
    <w:rsid w:val="00706D72"/>
    <w:rsid w:val="007145F1"/>
    <w:rsid w:val="007156CE"/>
    <w:rsid w:val="00721FF2"/>
    <w:rsid w:val="00723A7E"/>
    <w:rsid w:val="00741A9F"/>
    <w:rsid w:val="007479EC"/>
    <w:rsid w:val="0076021B"/>
    <w:rsid w:val="007607C4"/>
    <w:rsid w:val="00761CAB"/>
    <w:rsid w:val="00762966"/>
    <w:rsid w:val="00771DF7"/>
    <w:rsid w:val="007730CD"/>
    <w:rsid w:val="00790D4D"/>
    <w:rsid w:val="007A062E"/>
    <w:rsid w:val="007A648E"/>
    <w:rsid w:val="007B0200"/>
    <w:rsid w:val="007B2F0C"/>
    <w:rsid w:val="007B3BC8"/>
    <w:rsid w:val="007B3F3F"/>
    <w:rsid w:val="007E18EB"/>
    <w:rsid w:val="007E5CAA"/>
    <w:rsid w:val="007F2354"/>
    <w:rsid w:val="008074B7"/>
    <w:rsid w:val="00821906"/>
    <w:rsid w:val="0082752F"/>
    <w:rsid w:val="008363B1"/>
    <w:rsid w:val="00837660"/>
    <w:rsid w:val="0084396C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578C1"/>
    <w:rsid w:val="00975446"/>
    <w:rsid w:val="00982A36"/>
    <w:rsid w:val="0098379F"/>
    <w:rsid w:val="0099184B"/>
    <w:rsid w:val="009A42C2"/>
    <w:rsid w:val="009B4F7A"/>
    <w:rsid w:val="009C0F0B"/>
    <w:rsid w:val="009C7439"/>
    <w:rsid w:val="009D553D"/>
    <w:rsid w:val="009E052E"/>
    <w:rsid w:val="009E3BC9"/>
    <w:rsid w:val="009E6DE5"/>
    <w:rsid w:val="009F184F"/>
    <w:rsid w:val="00A029A1"/>
    <w:rsid w:val="00A04893"/>
    <w:rsid w:val="00A25425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B5026"/>
    <w:rsid w:val="00AB633B"/>
    <w:rsid w:val="00AE3D47"/>
    <w:rsid w:val="00AF6227"/>
    <w:rsid w:val="00B051D9"/>
    <w:rsid w:val="00B13DED"/>
    <w:rsid w:val="00B15A3E"/>
    <w:rsid w:val="00B21992"/>
    <w:rsid w:val="00B21C2E"/>
    <w:rsid w:val="00B30D80"/>
    <w:rsid w:val="00B324E9"/>
    <w:rsid w:val="00B36707"/>
    <w:rsid w:val="00B37127"/>
    <w:rsid w:val="00B521E6"/>
    <w:rsid w:val="00B53399"/>
    <w:rsid w:val="00B57026"/>
    <w:rsid w:val="00B70997"/>
    <w:rsid w:val="00B70C98"/>
    <w:rsid w:val="00B746B4"/>
    <w:rsid w:val="00B840FC"/>
    <w:rsid w:val="00B92209"/>
    <w:rsid w:val="00BB0290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46A4"/>
    <w:rsid w:val="00C46151"/>
    <w:rsid w:val="00C47D11"/>
    <w:rsid w:val="00C54330"/>
    <w:rsid w:val="00C5675D"/>
    <w:rsid w:val="00C658F5"/>
    <w:rsid w:val="00C91A3E"/>
    <w:rsid w:val="00C93203"/>
    <w:rsid w:val="00C969E9"/>
    <w:rsid w:val="00CB29CA"/>
    <w:rsid w:val="00CB5F94"/>
    <w:rsid w:val="00CD41BE"/>
    <w:rsid w:val="00CE261E"/>
    <w:rsid w:val="00CE465E"/>
    <w:rsid w:val="00CE73D0"/>
    <w:rsid w:val="00CF2433"/>
    <w:rsid w:val="00CF58F2"/>
    <w:rsid w:val="00D020ED"/>
    <w:rsid w:val="00D04700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85FDA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94DB9"/>
    <w:rsid w:val="00EA0E5D"/>
    <w:rsid w:val="00EA42AB"/>
    <w:rsid w:val="00EB132E"/>
    <w:rsid w:val="00EC362E"/>
    <w:rsid w:val="00EC68E5"/>
    <w:rsid w:val="00EC6C67"/>
    <w:rsid w:val="00ED40EF"/>
    <w:rsid w:val="00ED45D2"/>
    <w:rsid w:val="00ED7CE3"/>
    <w:rsid w:val="00EE12D6"/>
    <w:rsid w:val="00EE311F"/>
    <w:rsid w:val="00EF5DDD"/>
    <w:rsid w:val="00F12B3B"/>
    <w:rsid w:val="00F16892"/>
    <w:rsid w:val="00F275C6"/>
    <w:rsid w:val="00F40FC9"/>
    <w:rsid w:val="00F4150D"/>
    <w:rsid w:val="00F449F2"/>
    <w:rsid w:val="00F6380F"/>
    <w:rsid w:val="00F64410"/>
    <w:rsid w:val="00F72C3B"/>
    <w:rsid w:val="00F87A91"/>
    <w:rsid w:val="00F90452"/>
    <w:rsid w:val="00F90849"/>
    <w:rsid w:val="00FB3DBD"/>
    <w:rsid w:val="00FB5807"/>
    <w:rsid w:val="00FB75DC"/>
    <w:rsid w:val="00FB7945"/>
    <w:rsid w:val="00FC57BC"/>
    <w:rsid w:val="00FD6003"/>
    <w:rsid w:val="00FE4B02"/>
    <w:rsid w:val="00FE4B30"/>
    <w:rsid w:val="00FE51C3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BB0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8"/>
    <w:rsid w:val="00BB0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a8">
    <w:name w:val="Колонтитул_"/>
    <w:basedOn w:val="a0"/>
    <w:rsid w:val="00BB0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8"/>
    <w:rsid w:val="00BB02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11715</Words>
  <Characters>6678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459</cp:revision>
  <dcterms:created xsi:type="dcterms:W3CDTF">2020-08-21T08:05:00Z</dcterms:created>
  <dcterms:modified xsi:type="dcterms:W3CDTF">2020-09-15T08:28:00Z</dcterms:modified>
</cp:coreProperties>
</file>