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4A" w:rsidRPr="00840797" w:rsidRDefault="008C464A" w:rsidP="00840797">
      <w:pPr>
        <w:pStyle w:val="2"/>
        <w:shd w:val="clear" w:color="auto" w:fill="FFFFFF"/>
        <w:spacing w:before="0" w:beforeAutospacing="0" w:after="180" w:afterAutospacing="0"/>
        <w:textAlignment w:val="baseline"/>
        <w:rPr>
          <w:color w:val="111111"/>
          <w:sz w:val="56"/>
          <w:szCs w:val="56"/>
          <w:u w:val="single"/>
        </w:rPr>
      </w:pPr>
    </w:p>
    <w:p w:rsidR="00840797" w:rsidRPr="00840797" w:rsidRDefault="008C464A" w:rsidP="00840797">
      <w:pPr>
        <w:pStyle w:val="2"/>
        <w:shd w:val="clear" w:color="auto" w:fill="FFFFFF"/>
        <w:spacing w:before="0" w:beforeAutospacing="0" w:after="180" w:afterAutospacing="0"/>
        <w:jc w:val="center"/>
        <w:textAlignment w:val="baseline"/>
        <w:rPr>
          <w:i/>
          <w:color w:val="111111"/>
          <w:sz w:val="56"/>
          <w:szCs w:val="56"/>
        </w:rPr>
      </w:pPr>
      <w:proofErr w:type="spellStart"/>
      <w:r w:rsidRPr="00840797">
        <w:rPr>
          <w:i/>
          <w:color w:val="111111"/>
          <w:sz w:val="56"/>
          <w:szCs w:val="56"/>
        </w:rPr>
        <w:t>Комунальне</w:t>
      </w:r>
      <w:proofErr w:type="spellEnd"/>
      <w:r w:rsidRPr="00840797">
        <w:rPr>
          <w:i/>
          <w:color w:val="111111"/>
          <w:sz w:val="56"/>
          <w:szCs w:val="56"/>
        </w:rPr>
        <w:t xml:space="preserve"> </w:t>
      </w:r>
      <w:proofErr w:type="spellStart"/>
      <w:r w:rsidRPr="00840797">
        <w:rPr>
          <w:i/>
          <w:color w:val="111111"/>
          <w:sz w:val="56"/>
          <w:szCs w:val="56"/>
        </w:rPr>
        <w:t>медичне</w:t>
      </w:r>
      <w:proofErr w:type="spellEnd"/>
      <w:r w:rsidRPr="00840797">
        <w:rPr>
          <w:i/>
          <w:color w:val="111111"/>
          <w:sz w:val="56"/>
          <w:szCs w:val="56"/>
        </w:rPr>
        <w:t xml:space="preserve"> </w:t>
      </w:r>
      <w:proofErr w:type="spellStart"/>
      <w:proofErr w:type="gramStart"/>
      <w:r w:rsidRPr="00840797">
        <w:rPr>
          <w:i/>
          <w:color w:val="111111"/>
          <w:sz w:val="56"/>
          <w:szCs w:val="56"/>
        </w:rPr>
        <w:t>п</w:t>
      </w:r>
      <w:proofErr w:type="gramEnd"/>
      <w:r w:rsidRPr="00840797">
        <w:rPr>
          <w:i/>
          <w:color w:val="111111"/>
          <w:sz w:val="56"/>
          <w:szCs w:val="56"/>
        </w:rPr>
        <w:t>ідприємство</w:t>
      </w:r>
      <w:proofErr w:type="spellEnd"/>
    </w:p>
    <w:p w:rsidR="008C464A" w:rsidRDefault="008C464A" w:rsidP="00840797">
      <w:pPr>
        <w:pStyle w:val="2"/>
        <w:shd w:val="clear" w:color="auto" w:fill="FFFFFF"/>
        <w:spacing w:before="0" w:beforeAutospacing="0" w:after="180" w:afterAutospacing="0"/>
        <w:jc w:val="center"/>
        <w:textAlignment w:val="baseline"/>
        <w:rPr>
          <w:i/>
          <w:color w:val="111111"/>
          <w:sz w:val="56"/>
          <w:szCs w:val="56"/>
        </w:rPr>
      </w:pPr>
      <w:r w:rsidRPr="00840797">
        <w:rPr>
          <w:i/>
          <w:color w:val="111111"/>
          <w:sz w:val="56"/>
          <w:szCs w:val="56"/>
        </w:rPr>
        <w:t>«</w:t>
      </w:r>
      <w:proofErr w:type="spellStart"/>
      <w:r w:rsidRPr="00840797">
        <w:rPr>
          <w:i/>
          <w:color w:val="111111"/>
          <w:sz w:val="56"/>
          <w:szCs w:val="56"/>
        </w:rPr>
        <w:t>Лікарня</w:t>
      </w:r>
      <w:proofErr w:type="spellEnd"/>
      <w:r w:rsidRPr="00840797">
        <w:rPr>
          <w:i/>
          <w:color w:val="111111"/>
          <w:sz w:val="56"/>
          <w:szCs w:val="56"/>
        </w:rPr>
        <w:t xml:space="preserve"> </w:t>
      </w:r>
      <w:proofErr w:type="spellStart"/>
      <w:r w:rsidRPr="00840797">
        <w:rPr>
          <w:i/>
          <w:color w:val="111111"/>
          <w:sz w:val="56"/>
          <w:szCs w:val="56"/>
        </w:rPr>
        <w:t>Придніпровська</w:t>
      </w:r>
      <w:proofErr w:type="spellEnd"/>
      <w:r w:rsidRPr="00840797">
        <w:rPr>
          <w:i/>
          <w:color w:val="111111"/>
          <w:sz w:val="56"/>
          <w:szCs w:val="56"/>
        </w:rPr>
        <w:t>»</w:t>
      </w:r>
    </w:p>
    <w:p w:rsidR="00840797" w:rsidRPr="00840797" w:rsidRDefault="00840797" w:rsidP="00840797">
      <w:pPr>
        <w:pStyle w:val="2"/>
        <w:shd w:val="clear" w:color="auto" w:fill="FFFFFF"/>
        <w:spacing w:before="0" w:beforeAutospacing="0" w:after="180" w:afterAutospacing="0"/>
        <w:jc w:val="center"/>
        <w:textAlignment w:val="baseline"/>
        <w:rPr>
          <w:i/>
          <w:color w:val="111111"/>
          <w:sz w:val="56"/>
          <w:szCs w:val="56"/>
        </w:rPr>
      </w:pPr>
    </w:p>
    <w:p w:rsidR="008C464A" w:rsidRPr="00AC0ABE" w:rsidRDefault="008C464A" w:rsidP="00840797">
      <w:pPr>
        <w:pStyle w:val="2"/>
        <w:shd w:val="clear" w:color="auto" w:fill="FFFFFF"/>
        <w:tabs>
          <w:tab w:val="left" w:pos="3450"/>
        </w:tabs>
        <w:spacing w:before="216" w:beforeAutospacing="0" w:after="96" w:afterAutospacing="0"/>
        <w:textAlignment w:val="baseline"/>
        <w:rPr>
          <w:color w:val="111111"/>
          <w:u w:val="single"/>
          <w:lang w:val="uk-UA"/>
        </w:rPr>
      </w:pPr>
      <w:proofErr w:type="spellStart"/>
      <w:r w:rsidRPr="00AC0ABE">
        <w:rPr>
          <w:color w:val="111111"/>
          <w:u w:val="single"/>
        </w:rPr>
        <w:t>Графік</w:t>
      </w:r>
      <w:proofErr w:type="spellEnd"/>
      <w:r w:rsidRPr="00AC0ABE">
        <w:rPr>
          <w:color w:val="111111"/>
          <w:u w:val="single"/>
        </w:rPr>
        <w:t xml:space="preserve"> </w:t>
      </w:r>
      <w:proofErr w:type="spellStart"/>
      <w:r w:rsidRPr="00AC0ABE">
        <w:rPr>
          <w:color w:val="111111"/>
          <w:u w:val="single"/>
        </w:rPr>
        <w:t>роботи</w:t>
      </w:r>
      <w:proofErr w:type="spellEnd"/>
      <w:r w:rsidRPr="00AC0ABE">
        <w:rPr>
          <w:color w:val="111111"/>
          <w:u w:val="single"/>
        </w:rPr>
        <w:t>:</w:t>
      </w:r>
    </w:p>
    <w:p w:rsidR="00AC0ABE" w:rsidRDefault="008C464A" w:rsidP="008C464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Пн-Пт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8.00-16.30. </w:t>
      </w:r>
    </w:p>
    <w:p w:rsidR="008C464A" w:rsidRDefault="008C464A" w:rsidP="008C464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Об</w:t>
      </w:r>
      <w:proofErr w:type="gramEnd"/>
      <w:r>
        <w:rPr>
          <w:color w:val="000000"/>
          <w:sz w:val="28"/>
          <w:szCs w:val="28"/>
          <w:shd w:val="clear" w:color="auto" w:fill="FFFFFF"/>
        </w:rPr>
        <w:t>ідня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перерва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12.30-13.00</w:t>
      </w:r>
    </w:p>
    <w:p w:rsidR="008C464A" w:rsidRDefault="008C464A" w:rsidP="008C464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C464A" w:rsidRPr="00AC0ABE" w:rsidRDefault="008C464A" w:rsidP="008C464A">
      <w:pPr>
        <w:jc w:val="both"/>
        <w:rPr>
          <w:b/>
          <w:color w:val="000000"/>
          <w:sz w:val="32"/>
          <w:szCs w:val="32"/>
          <w:u w:val="single"/>
          <w:shd w:val="clear" w:color="auto" w:fill="FFFFFF"/>
          <w:lang w:val="uk-UA"/>
        </w:rPr>
      </w:pPr>
      <w:proofErr w:type="spellStart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>Графік</w:t>
      </w:r>
      <w:proofErr w:type="spellEnd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>прийома</w:t>
      </w:r>
      <w:proofErr w:type="spellEnd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директора </w:t>
      </w:r>
      <w:proofErr w:type="spellStart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>з</w:t>
      </w:r>
      <w:proofErr w:type="spellEnd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>особистих</w:t>
      </w:r>
      <w:proofErr w:type="spellEnd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>питань</w:t>
      </w:r>
      <w:proofErr w:type="spellEnd"/>
      <w:r w:rsidRPr="00AC0ABE">
        <w:rPr>
          <w:b/>
          <w:color w:val="000000"/>
          <w:sz w:val="32"/>
          <w:szCs w:val="32"/>
          <w:u w:val="single"/>
          <w:shd w:val="clear" w:color="auto" w:fill="FFFFFF"/>
        </w:rPr>
        <w:t xml:space="preserve">: </w:t>
      </w:r>
    </w:p>
    <w:p w:rsidR="008C464A" w:rsidRDefault="008C464A" w:rsidP="008C464A">
      <w:pPr>
        <w:jc w:val="both"/>
        <w:rPr>
          <w:color w:val="000000"/>
          <w:sz w:val="32"/>
          <w:szCs w:val="32"/>
          <w:shd w:val="clear" w:color="auto" w:fill="FFFFFF"/>
          <w:lang w:val="uk-UA"/>
        </w:rPr>
      </w:pPr>
    </w:p>
    <w:p w:rsidR="008C464A" w:rsidRDefault="008C464A" w:rsidP="008C464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щопонеділка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09:00 до 12:00 </w:t>
      </w:r>
    </w:p>
    <w:p w:rsidR="008C464A" w:rsidRDefault="008C464A" w:rsidP="008C464A">
      <w:pPr>
        <w:jc w:val="both"/>
        <w:rPr>
          <w:color w:val="000000"/>
          <w:sz w:val="32"/>
          <w:szCs w:val="32"/>
          <w:shd w:val="clear" w:color="auto" w:fill="FFFFFF"/>
          <w:lang w:val="uk-UA"/>
        </w:rPr>
      </w:pPr>
    </w:p>
    <w:p w:rsidR="008C464A" w:rsidRDefault="008C464A" w:rsidP="008C46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щ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очетверга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09:00 до 12:00</w:t>
      </w:r>
    </w:p>
    <w:p w:rsidR="008C464A" w:rsidRDefault="008C464A" w:rsidP="008C464A">
      <w:pPr>
        <w:pStyle w:val="2"/>
        <w:shd w:val="clear" w:color="auto" w:fill="FFFFFF"/>
        <w:spacing w:before="216" w:beforeAutospacing="0" w:after="96" w:afterAutospacing="0"/>
        <w:textAlignment w:val="baseline"/>
        <w:rPr>
          <w:color w:val="111111"/>
          <w:lang w:val="uk-UA"/>
        </w:rPr>
      </w:pPr>
      <w:proofErr w:type="spellStart"/>
      <w:r>
        <w:rPr>
          <w:color w:val="111111"/>
        </w:rPr>
        <w:t>Приймальня</w:t>
      </w:r>
      <w:proofErr w:type="spellEnd"/>
      <w:r>
        <w:rPr>
          <w:color w:val="111111"/>
        </w:rPr>
        <w:t>:</w:t>
      </w:r>
      <w:r>
        <w:rPr>
          <w:color w:val="111111"/>
          <w:lang w:val="uk-UA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м. </w:t>
      </w:r>
      <w:proofErr w:type="spellStart"/>
      <w:r>
        <w:rPr>
          <w:b w:val="0"/>
          <w:sz w:val="28"/>
          <w:szCs w:val="28"/>
          <w:shd w:val="clear" w:color="auto" w:fill="FFFFFF"/>
        </w:rPr>
        <w:t>Кременчук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sz w:val="28"/>
          <w:szCs w:val="28"/>
          <w:shd w:val="clear" w:color="auto" w:fill="FFFFFF"/>
        </w:rPr>
        <w:t>пров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 w:val="0"/>
          <w:sz w:val="28"/>
          <w:szCs w:val="28"/>
          <w:shd w:val="clear" w:color="auto" w:fill="FFFFFF"/>
        </w:rPr>
        <w:t>Павлівський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1/4, каб.102</w:t>
      </w:r>
    </w:p>
    <w:p w:rsidR="008C464A" w:rsidRDefault="008C464A" w:rsidP="008C464A">
      <w:pPr>
        <w:pStyle w:val="2"/>
        <w:shd w:val="clear" w:color="auto" w:fill="FFFFFF"/>
        <w:spacing w:before="216" w:beforeAutospacing="0" w:after="96" w:afterAutospacing="0"/>
        <w:textAlignment w:val="baseline"/>
        <w:rPr>
          <w:color w:val="111111"/>
        </w:rPr>
      </w:pPr>
      <w:r>
        <w:rPr>
          <w:color w:val="111111"/>
        </w:rPr>
        <w:t>Адреса:</w:t>
      </w:r>
      <w:r>
        <w:rPr>
          <w:color w:val="111111"/>
          <w:lang w:val="uk-UA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пров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 w:val="0"/>
          <w:sz w:val="28"/>
          <w:szCs w:val="28"/>
          <w:shd w:val="clear" w:color="auto" w:fill="FFFFFF"/>
        </w:rPr>
        <w:t>Павлівський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1/4, м. </w:t>
      </w:r>
      <w:proofErr w:type="spellStart"/>
      <w:r>
        <w:rPr>
          <w:b w:val="0"/>
          <w:sz w:val="28"/>
          <w:szCs w:val="28"/>
          <w:shd w:val="clear" w:color="auto" w:fill="FFFFFF"/>
        </w:rPr>
        <w:t>Кременчук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sz w:val="28"/>
          <w:szCs w:val="28"/>
          <w:shd w:val="clear" w:color="auto" w:fill="FFFFFF"/>
        </w:rPr>
        <w:t>Полтавської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області</w:t>
      </w:r>
      <w:proofErr w:type="spellEnd"/>
      <w:r>
        <w:rPr>
          <w:b w:val="0"/>
          <w:sz w:val="28"/>
          <w:szCs w:val="28"/>
          <w:shd w:val="clear" w:color="auto" w:fill="FFFFFF"/>
        </w:rPr>
        <w:t>, 39600</w:t>
      </w:r>
    </w:p>
    <w:p w:rsidR="008C464A" w:rsidRDefault="008C464A" w:rsidP="008C464A">
      <w:pPr>
        <w:pStyle w:val="2"/>
        <w:shd w:val="clear" w:color="auto" w:fill="FFFFFF"/>
        <w:spacing w:before="216" w:beforeAutospacing="0" w:after="96" w:afterAutospacing="0"/>
        <w:textAlignment w:val="baseline"/>
        <w:rPr>
          <w:rFonts w:ascii="Open Sans" w:hAnsi="Open Sans"/>
          <w:color w:val="111111"/>
          <w:sz w:val="38"/>
          <w:szCs w:val="38"/>
        </w:rPr>
      </w:pPr>
      <w:proofErr w:type="spellStart"/>
      <w:r>
        <w:rPr>
          <w:color w:val="111111"/>
        </w:rPr>
        <w:t>Електронна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пошта</w:t>
      </w:r>
      <w:proofErr w:type="spellEnd"/>
      <w:r>
        <w:rPr>
          <w:rFonts w:ascii="Open Sans" w:hAnsi="Open Sans"/>
          <w:color w:val="111111"/>
          <w:sz w:val="38"/>
          <w:szCs w:val="38"/>
        </w:rPr>
        <w:t>:</w:t>
      </w:r>
      <w:r w:rsidRPr="00ED1420">
        <w:rPr>
          <w:color w:val="000000" w:themeColor="text1"/>
          <w:sz w:val="38"/>
          <w:szCs w:val="38"/>
          <w:lang w:val="uk-UA"/>
        </w:rPr>
        <w:t xml:space="preserve"> </w:t>
      </w:r>
      <w:hyperlink r:id="rId5" w:history="1">
        <w:r w:rsidRPr="00ED1420">
          <w:rPr>
            <w:rStyle w:val="a3"/>
            <w:b w:val="0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gdbolnica@link-kremen.net</w:t>
        </w:r>
      </w:hyperlink>
    </w:p>
    <w:p w:rsidR="008C464A" w:rsidRDefault="008C464A" w:rsidP="008C464A">
      <w:pPr>
        <w:pStyle w:val="2"/>
        <w:shd w:val="clear" w:color="auto" w:fill="FFFFFF"/>
        <w:spacing w:before="216" w:beforeAutospacing="0" w:after="96" w:afterAutospacing="0"/>
        <w:textAlignment w:val="baseline"/>
        <w:rPr>
          <w:color w:val="111111"/>
        </w:rPr>
      </w:pPr>
      <w:r>
        <w:rPr>
          <w:color w:val="111111"/>
        </w:rPr>
        <w:t>Телефон:</w:t>
      </w:r>
      <w:r>
        <w:rPr>
          <w:color w:val="111111"/>
          <w:lang w:val="uk-UA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тел./факс – (05366) 3-10-06</w:t>
      </w:r>
    </w:p>
    <w:p w:rsidR="00835734" w:rsidRDefault="00AC0ABE">
      <w:proofErr w:type="spellStart"/>
      <w:r>
        <w:rPr>
          <w:b/>
          <w:sz w:val="36"/>
          <w:szCs w:val="36"/>
        </w:rPr>
        <w:t>Оф</w:t>
      </w:r>
      <w:r w:rsidRPr="00AC0ABE">
        <w:rPr>
          <w:b/>
          <w:sz w:val="36"/>
          <w:szCs w:val="36"/>
          <w:lang w:val="uk-UA"/>
        </w:rPr>
        <w:t>іційний</w:t>
      </w:r>
      <w:proofErr w:type="spellEnd"/>
      <w:r>
        <w:rPr>
          <w:b/>
          <w:sz w:val="36"/>
          <w:szCs w:val="36"/>
          <w:lang w:val="uk-UA"/>
        </w:rPr>
        <w:t xml:space="preserve"> в</w:t>
      </w:r>
      <w:proofErr w:type="spellStart"/>
      <w:r>
        <w:rPr>
          <w:b/>
          <w:sz w:val="36"/>
          <w:szCs w:val="36"/>
        </w:rPr>
        <w:t>еб-с</w:t>
      </w:r>
      <w:r w:rsidR="00840797" w:rsidRPr="00840797">
        <w:rPr>
          <w:b/>
          <w:sz w:val="36"/>
          <w:szCs w:val="36"/>
        </w:rPr>
        <w:t>айт</w:t>
      </w:r>
      <w:proofErr w:type="spellEnd"/>
      <w:r w:rsidR="00840797" w:rsidRPr="00840797">
        <w:rPr>
          <w:b/>
          <w:sz w:val="36"/>
          <w:szCs w:val="36"/>
        </w:rPr>
        <w:t>:</w:t>
      </w:r>
      <w:r w:rsidR="00840797" w:rsidRPr="00840797">
        <w:t xml:space="preserve"> </w:t>
      </w:r>
      <w:hyperlink r:id="rId6" w:history="1">
        <w:r w:rsidR="00840797" w:rsidRPr="00ED1420">
          <w:rPr>
            <w:rStyle w:val="a3"/>
            <w:color w:val="000000" w:themeColor="text1"/>
            <w:sz w:val="28"/>
            <w:szCs w:val="28"/>
          </w:rPr>
          <w:t>https://prydniprovska.site123.me/</w:t>
        </w:r>
      </w:hyperlink>
    </w:p>
    <w:p w:rsidR="001F6F51" w:rsidRDefault="001F6F51"/>
    <w:p w:rsidR="001F6F51" w:rsidRDefault="001F6F51"/>
    <w:p w:rsidR="001F6F51" w:rsidRDefault="001F6F51"/>
    <w:p w:rsidR="001F6F51" w:rsidRDefault="001F6F51" w:rsidP="001F6F51">
      <w:pPr>
        <w:pStyle w:val="2"/>
        <w:shd w:val="clear" w:color="auto" w:fill="FFFFFF"/>
        <w:spacing w:before="216" w:beforeAutospacing="0" w:after="96" w:afterAutospacing="0"/>
        <w:jc w:val="both"/>
        <w:textAlignment w:val="baseline"/>
        <w:rPr>
          <w:color w:val="111111"/>
          <w:sz w:val="32"/>
          <w:szCs w:val="32"/>
          <w:lang w:val="uk-UA"/>
        </w:rPr>
      </w:pPr>
      <w:r>
        <w:rPr>
          <w:color w:val="111111"/>
          <w:sz w:val="32"/>
          <w:szCs w:val="32"/>
          <w:lang w:val="uk-UA"/>
        </w:rPr>
        <w:t>Основні завдання та функції:</w:t>
      </w:r>
    </w:p>
    <w:p w:rsidR="001F6F51" w:rsidRDefault="001F6F51" w:rsidP="001F6F51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здійснення медичної практики для безпосереднього забезпечення медичного обслуговування населення, шляхом надання йому кваліфікованої планової стаціонарної та спеціалізованої амбулаторно-поліклінічної допомоги, а також швидкої й невідкладної медичної (лікувально-профілактичної) допомоги у відповідності з договорами про надання медичних послуг, що забезпечуються за рахунок коштів міського бюджету, з використанням власних кадрових та матеріально-технічних ресурсів;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- організація взаємодії з іншими закладами охорони здоров’я з метою забезпечення наступництва у наданні медичної допомоги на різних </w:t>
      </w: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надання медичних та інших послуг фізичним та юридичним особам на 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виконавчої влади, а також на підставі та умовах, визначених договорами про медичне обслуговування;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взяття та зберігання донорської крові;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- придбання, зберігання, перевезення, відпуск, знищення наркотичних засобів (списку І таблиці </w:t>
      </w:r>
      <w:r>
        <w:rPr>
          <w:color w:val="000000"/>
          <w:sz w:val="28"/>
          <w:szCs w:val="28"/>
          <w:shd w:val="clear" w:color="auto" w:fill="FFFFFF"/>
        </w:rPr>
        <w:t>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списку 1 таблиці </w:t>
      </w:r>
      <w:r>
        <w:rPr>
          <w:color w:val="000000"/>
          <w:sz w:val="28"/>
          <w:szCs w:val="28"/>
          <w:shd w:val="clear" w:color="auto" w:fill="FFFFFF"/>
        </w:rPr>
        <w:t>III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), психотропних речовин (списку 2 таблиці </w:t>
      </w:r>
      <w:r>
        <w:rPr>
          <w:color w:val="000000"/>
          <w:sz w:val="28"/>
          <w:szCs w:val="28"/>
          <w:shd w:val="clear" w:color="auto" w:fill="FFFFFF"/>
        </w:rPr>
        <w:t>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списку 2 таблиці </w:t>
      </w:r>
      <w:r>
        <w:rPr>
          <w:color w:val="000000"/>
          <w:sz w:val="28"/>
          <w:szCs w:val="28"/>
          <w:shd w:val="clear" w:color="auto" w:fill="FFFFFF"/>
        </w:rPr>
        <w:t>III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) і прекурсорів (списків І та 2 таблиці </w:t>
      </w:r>
      <w:r>
        <w:rPr>
          <w:color w:val="000000"/>
          <w:sz w:val="28"/>
          <w:szCs w:val="28"/>
          <w:shd w:val="clear" w:color="auto" w:fill="FFFFFF"/>
        </w:rPr>
        <w:t>IV</w:t>
      </w:r>
      <w:r>
        <w:rPr>
          <w:color w:val="000000"/>
          <w:sz w:val="28"/>
          <w:szCs w:val="28"/>
          <w:shd w:val="clear" w:color="auto" w:fill="FFFFFF"/>
          <w:lang w:val="uk-UA"/>
        </w:rPr>
        <w:t>) «Переліку наркотичних засобів, психотропних речовин і прекурсорів»;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роздрібна торгівля медичними засобами та ортопедичними товарами;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клінічна апробація нових медикаментів, устаткування, приладів та інших матеріалів з відповідним наданням відгуків, висновків та рекомендацій по використанню;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стажування лікарів-інтернів згідно з угодами;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проведення перепідготовки, удосконалення та підвищення кваліфікації медичних кадрів;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роздрібна торгівля лікарськими засобами;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монтаж, ремонт і технічне обслуговування медичної техніки, включаючи хірургічне устаткування та ортопедичні пристосування;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здача майна в оренду, в тому числі нерухомого;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організація громадського харчування;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організація паркування транспорту;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професійна діяльність у сфері надання соціальних послуг;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впровадження нових методів лікування;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- організація та участь у міжнародних форумах, конференціях, нарадах, семінарах, виставках та інших заходах.</w:t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F6F51" w:rsidRDefault="001F6F51" w:rsidP="001F6F51">
      <w:pPr>
        <w:pStyle w:val="2"/>
        <w:shd w:val="clear" w:color="auto" w:fill="FFFFFF"/>
        <w:spacing w:before="216" w:beforeAutospacing="0" w:after="96" w:afterAutospacing="0"/>
        <w:textAlignment w:val="baseline"/>
        <w:rPr>
          <w:color w:val="111111"/>
          <w:sz w:val="32"/>
          <w:szCs w:val="32"/>
          <w:lang w:val="uk-UA"/>
        </w:rPr>
      </w:pPr>
      <w:r>
        <w:rPr>
          <w:color w:val="111111"/>
          <w:sz w:val="32"/>
          <w:szCs w:val="32"/>
          <w:lang w:val="uk-UA"/>
        </w:rPr>
        <w:t xml:space="preserve">    Послуги:</w:t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Планова хірургічна допомога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герніоабдомінопластика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герніопластика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алотрансплантатів,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холецистектомія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операції при патології печінки та селезінки, первинні та реконструктивні операції на жовчних протоках,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органозберігаючі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операції при виразковій хворобі шлунку та 12-и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перстної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кишки, резекції шлунку,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гастректомії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операції при хронічному панкреатиті,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панкреатодуоденальна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резекція, первинні та </w:t>
      </w: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реконструктивні операції при патології тонкого та товстого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кишківника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(резекція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кишківника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геміколектомії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відновні операції на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кишківнику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 Проктологічні операції (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гемороідектомії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,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пластиковідновні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операції прямої кишки, операції при хронічному парапроктиті, тріщини.), оперативне лікування при варикозній хворобі вен нижніх кінцівок, оперативне лікування захворювань сечостатевої системи.</w:t>
      </w:r>
      <w:r>
        <w:rPr>
          <w:color w:val="000000"/>
          <w:sz w:val="28"/>
          <w:szCs w:val="28"/>
          <w:lang w:val="uk-UA"/>
        </w:rPr>
        <w:br/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Ургентна хірургічна допомога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апендектомії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герніопластика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 защемлених грижах, операції при гострій кишкові непрохідності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злукової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пухлинної етіології, операції при шлунково-кишкових кровотечах (як виразкової, так 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невиразкової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етіології),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холецистектомії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диструктивних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формах холециститу з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перевизикальними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змінами, операції при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панкреонекрозі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(дренування,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некректомії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аментобурсостомії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), операції при перитонітах, операції при закритих та відкритих травмах органів черевної порожнини, операції при гнійних процесах м’яких тканин.</w:t>
      </w:r>
      <w:r>
        <w:rPr>
          <w:color w:val="000000"/>
          <w:sz w:val="28"/>
          <w:szCs w:val="28"/>
          <w:lang w:val="uk-UA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Малоінвазівні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хірургічні втручання: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лапароскопічні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холецистектомія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герніопластика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апендектомія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lang w:val="uk-UA"/>
        </w:rPr>
        <w:br/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У гінекологічному відділенні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виконується як широкий діапазон традиційних оперативних втручань, так і усі різновиди найсучасніших ендоскопічних операцій при безплідді, патології додатків матки,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лейоміомах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матки.</w:t>
      </w:r>
      <w:r>
        <w:rPr>
          <w:color w:val="000000"/>
          <w:sz w:val="28"/>
          <w:szCs w:val="28"/>
          <w:lang w:val="uk-UA"/>
        </w:rPr>
        <w:br/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Ортопедичне оперативне лікування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ендопротезування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кульшових суглобів хворим з деформуючим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остеоартрозом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хворим з переломами шийки стегна,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артроскопічні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оперативні втручання на колінному суглобі, оперативне лікування хворих з травмами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опорно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рухового апарату, такі як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інтрамедулярни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блокуючий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остеосинтез при переломах довгих кісток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антеградними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реконструктивними та ретроградними стержнями,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накісний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ОМС пластинами з обмеженим контактом та пластинами з кутовою стабільністю</w:t>
      </w:r>
      <w:r>
        <w:rPr>
          <w:color w:val="000000"/>
          <w:sz w:val="28"/>
          <w:szCs w:val="28"/>
          <w:lang w:val="uk-UA"/>
        </w:rPr>
        <w:br/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У палаті інтенсивної терапії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проводиться лікування пацієнтів з гострим порушенням серцевого ритму: пацієнтів після важких травматичних операцій, пацієнтів неврологічного, терапевтичного та гінекологічного профілю у яких порушено життєво-важливі функції організму, та вони потребують реанімації та інтенсивної терапії, пацієнтів з різними видами інтоксикацій с застосуванням мембранного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плазмафореза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lang w:val="uk-UA"/>
        </w:rPr>
        <w:br/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терапевтичному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відділенні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проводиться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діагностика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color w:val="000000"/>
          <w:sz w:val="28"/>
          <w:szCs w:val="28"/>
          <w:shd w:val="clear" w:color="auto" w:fill="FFFFFF"/>
        </w:rPr>
        <w:t>ікування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змішаних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терапевтичних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захворювань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включаючи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кардіологічну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патологію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F6F51" w:rsidRDefault="001F6F51" w:rsidP="001F6F51">
      <w:pPr>
        <w:ind w:left="36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>Діагностичні та лікувальні методики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які використовуються в відділенні: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холтерівське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моніторування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електрокардіограми та артеріального тиску, лікування хворих серцево-судинною патологією з використанням сучасних лікарських препаратів, надання діагностичної, лікувальної та профілактичної допомоги хворим з захворюваннями органів травлення. </w:t>
      </w:r>
      <w:r w:rsidRPr="001F6F51">
        <w:rPr>
          <w:color w:val="000000"/>
          <w:sz w:val="28"/>
          <w:szCs w:val="28"/>
          <w:shd w:val="clear" w:color="auto" w:fill="FFFFFF"/>
          <w:lang w:val="uk-UA"/>
        </w:rPr>
        <w:t>Впроваджені сучасні методики обстеження хворих, а саме: лабораторні, зондові, ендоскопічні, рентгенологічні, ультразвукові. Диференцьовано проводиться лікування хворих сучасними лікарськими препаратами з урахуванням індивідуальних особливостей перебігу захворювання, переважно з виразковою хворобою шлунку та дванадцятипалої кишки, гастроезофагеальною рефлюксною хворобою, загостренням хронічного панкреатиту, хронічних захворювань печінки — гепатитів та цирозів, хронічного коліту (неспецифічного виразкового)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</w:t>
      </w:r>
      <w:r w:rsidRPr="001F6F51">
        <w:rPr>
          <w:color w:val="000000"/>
          <w:sz w:val="28"/>
          <w:szCs w:val="28"/>
          <w:shd w:val="clear" w:color="auto" w:fill="FFFFFF"/>
          <w:lang w:val="uk-UA"/>
        </w:rPr>
        <w:t>а хвороби Крона.</w:t>
      </w:r>
      <w:r w:rsidRPr="001F6F51">
        <w:rPr>
          <w:color w:val="000000"/>
          <w:sz w:val="28"/>
          <w:szCs w:val="28"/>
          <w:lang w:val="uk-UA"/>
        </w:rPr>
        <w:br/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Централізована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клініко-діагностична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лабораторія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атестована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сфері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поширення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державного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метрологічного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нагляду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оснащена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необхідним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сучасним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обладнанням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дозволяє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практично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ставити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сумнів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достовірність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отриманих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>ідповідає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міжнародним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вимогам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лабораторної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діагностики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клініко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діагностичній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лабораторії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своєчасно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проводить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понад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150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лабораторних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досл</w:t>
      </w:r>
      <w:proofErr w:type="gramEnd"/>
      <w:r>
        <w:rPr>
          <w:color w:val="000000"/>
          <w:sz w:val="28"/>
          <w:szCs w:val="28"/>
          <w:shd w:val="clear" w:color="auto" w:fill="FFFFFF"/>
        </w:rPr>
        <w:t>іджень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клінічні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гематологічні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цитологічні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біохімічні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бактеріологічні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гормони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щитоподібної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залози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гепатити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ВІЧ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урогенітальні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ТORCH –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інфекції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методом ІФА.</w:t>
      </w:r>
      <w:r>
        <w:rPr>
          <w:color w:val="000000"/>
          <w:sz w:val="28"/>
          <w:szCs w:val="28"/>
        </w:rPr>
        <w:br/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Фізіотерапевтичне відділення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має можливість проводити майже всі відомі сучасні методи та методики апаратної фізіотерапії,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водо-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і грязелікування,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фіто-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аромотерапії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, лікувального масажу та лікувальної фізкультури.</w:t>
      </w:r>
      <w:r>
        <w:rPr>
          <w:color w:val="000000"/>
          <w:sz w:val="28"/>
          <w:szCs w:val="28"/>
          <w:lang w:val="uk-UA"/>
        </w:rPr>
        <w:br/>
      </w:r>
    </w:p>
    <w:p w:rsidR="001F6F51" w:rsidRDefault="001F6F51" w:rsidP="001F6F51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У патологоанатомічному відділенні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проводяться гістологічні дослідження хірургічного, урологічного, гінекологічного профілю, дослідження ендоскопічної біопсії шлунково-травневого тракту, захворювань шкіри, кровотворної та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лімфоїдної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тканини, кісток, отоларингологічної — та офтальмологічної патології.</w:t>
      </w:r>
      <w:r>
        <w:rPr>
          <w:color w:val="000000"/>
          <w:sz w:val="28"/>
          <w:szCs w:val="28"/>
          <w:lang w:val="uk-UA"/>
        </w:rPr>
        <w:br/>
      </w:r>
    </w:p>
    <w:p w:rsidR="001F6F51" w:rsidRDefault="001F6F51" w:rsidP="001F6F51">
      <w:pPr>
        <w:ind w:left="360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У рентген кабінету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проводять усі види рентгенодіагностичних досліджень хірургічного, урологічного, гінекологічного, терапевтичного профілю.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Кабінет ортопедичної стоматології виконує широкий спектр зубопротезних роб</w:t>
      </w:r>
      <w:r>
        <w:rPr>
          <w:rFonts w:ascii="Open Sans" w:hAnsi="Open Sans"/>
          <w:color w:val="000000"/>
          <w:sz w:val="21"/>
          <w:szCs w:val="21"/>
          <w:shd w:val="clear" w:color="auto" w:fill="FFFFFF"/>
          <w:lang w:val="uk-UA"/>
        </w:rPr>
        <w:t>іт.</w:t>
      </w:r>
    </w:p>
    <w:p w:rsidR="001F6F51" w:rsidRDefault="001F6F51"/>
    <w:p w:rsidR="00840797" w:rsidRPr="00840797" w:rsidRDefault="00840797">
      <w:pPr>
        <w:rPr>
          <w:b/>
          <w:sz w:val="36"/>
          <w:szCs w:val="36"/>
        </w:rPr>
      </w:pPr>
    </w:p>
    <w:sectPr w:rsidR="00840797" w:rsidRPr="00840797" w:rsidSect="0083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10C7"/>
    <w:multiLevelType w:val="hybridMultilevel"/>
    <w:tmpl w:val="12FA6B34"/>
    <w:lvl w:ilvl="0" w:tplc="14D24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4A"/>
    <w:rsid w:val="001F6F51"/>
    <w:rsid w:val="00624C1B"/>
    <w:rsid w:val="007E633A"/>
    <w:rsid w:val="00835734"/>
    <w:rsid w:val="00840797"/>
    <w:rsid w:val="008C464A"/>
    <w:rsid w:val="00A93958"/>
    <w:rsid w:val="00AC0ABE"/>
    <w:rsid w:val="00D27A03"/>
    <w:rsid w:val="00ED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C46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4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8C4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ydniprovska.site123.me/" TargetMode="External"/><Relationship Id="rId5" Type="http://schemas.openxmlformats.org/officeDocument/2006/relationships/hyperlink" Target="mailto:gdbolnica@link-kreme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2019-05-22T08:59:00Z</dcterms:created>
  <dcterms:modified xsi:type="dcterms:W3CDTF">2019-05-27T12:45:00Z</dcterms:modified>
</cp:coreProperties>
</file>