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Default="00921812" w:rsidP="00921AC7">
      <w:pPr>
        <w:ind w:firstLine="426"/>
        <w:jc w:val="both"/>
        <w:rPr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9C4C04">
        <w:rPr>
          <w:b/>
          <w:sz w:val="28"/>
          <w:szCs w:val="28"/>
        </w:rPr>
        <w:t>01.03.2016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9C4C04">
        <w:rPr>
          <w:b/>
          <w:sz w:val="28"/>
          <w:szCs w:val="28"/>
        </w:rPr>
        <w:t>10.03.2016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2753E" w:rsidRPr="00556081" w:rsidRDefault="0052753E" w:rsidP="00921AC7">
      <w:pPr>
        <w:ind w:firstLine="426"/>
        <w:jc w:val="both"/>
        <w:rPr>
          <w:b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9C4C04">
        <w:rPr>
          <w:b/>
          <w:bCs/>
          <w:sz w:val="28"/>
          <w:szCs w:val="28"/>
          <w:lang w:val="uk-UA"/>
        </w:rPr>
        <w:t>01.03.2016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9C4C04">
        <w:rPr>
          <w:b/>
          <w:bCs/>
          <w:sz w:val="28"/>
          <w:szCs w:val="28"/>
        </w:rPr>
        <w:t>10.03.2016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9C4C04">
        <w:rPr>
          <w:sz w:val="28"/>
          <w:szCs w:val="28"/>
          <w:lang w:val="uk-UA"/>
        </w:rPr>
        <w:t>01.03.2016</w:t>
      </w:r>
      <w:r w:rsidRPr="000455F1">
        <w:rPr>
          <w:sz w:val="28"/>
          <w:szCs w:val="28"/>
          <w:lang w:val="uk-UA"/>
        </w:rPr>
        <w:t xml:space="preserve"> по </w:t>
      </w:r>
      <w:r w:rsidR="009C4C04">
        <w:rPr>
          <w:sz w:val="28"/>
          <w:szCs w:val="28"/>
        </w:rPr>
        <w:t>10.03.2016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9C4C04" w:rsidRPr="009C4C04">
        <w:rPr>
          <w:b/>
          <w:bCs/>
          <w:sz w:val="28"/>
          <w:szCs w:val="28"/>
        </w:rPr>
        <w:t>75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C4C04" w:rsidRPr="009C4C04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170A59" w:rsidRPr="00170A59">
        <w:rPr>
          <w:b/>
          <w:sz w:val="28"/>
          <w:szCs w:val="28"/>
        </w:rPr>
        <w:t>4</w:t>
      </w:r>
      <w:r w:rsidR="009C4C04">
        <w:rPr>
          <w:b/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9C4C04">
        <w:rPr>
          <w:sz w:val="28"/>
          <w:szCs w:val="28"/>
          <w:lang w:val="uk-UA"/>
        </w:rPr>
        <w:t>32</w:t>
      </w:r>
      <w:r w:rsidRPr="000455F1">
        <w:rPr>
          <w:sz w:val="28"/>
          <w:szCs w:val="28"/>
          <w:lang w:val="uk-UA"/>
        </w:rPr>
        <w:t xml:space="preserve">, поштою – </w:t>
      </w:r>
      <w:r w:rsidR="009C4C04">
        <w:rPr>
          <w:sz w:val="28"/>
          <w:szCs w:val="28"/>
          <w:lang w:val="uk-UA"/>
        </w:rPr>
        <w:t>7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9C4C04">
        <w:rPr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9C4C04">
        <w:rPr>
          <w:b/>
          <w:sz w:val="28"/>
          <w:szCs w:val="28"/>
          <w:lang w:val="uk-UA"/>
        </w:rPr>
        <w:t>33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9C4C04">
        <w:rPr>
          <w:sz w:val="28"/>
          <w:szCs w:val="28"/>
          <w:lang w:val="uk-UA"/>
        </w:rPr>
        <w:t>16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9C4C04">
        <w:rPr>
          <w:sz w:val="28"/>
          <w:szCs w:val="28"/>
          <w:lang w:val="uk-UA"/>
        </w:rPr>
        <w:t>2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9C4C04">
        <w:rPr>
          <w:sz w:val="28"/>
          <w:szCs w:val="28"/>
          <w:lang w:val="uk-UA"/>
        </w:rPr>
        <w:t>5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525970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525970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15000" cy="2552700"/>
            <wp:effectExtent l="19050" t="0" r="1905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9C4C04" w:rsidRPr="009C4C04">
        <w:rPr>
          <w:b/>
          <w:sz w:val="28"/>
          <w:szCs w:val="28"/>
          <w:lang w:val="uk-UA"/>
        </w:rPr>
        <w:t>21</w:t>
      </w:r>
      <w:r w:rsidR="000B08FA">
        <w:rPr>
          <w:sz w:val="28"/>
          <w:szCs w:val="28"/>
          <w:lang w:val="uk-UA"/>
        </w:rPr>
        <w:t xml:space="preserve"> запит</w:t>
      </w:r>
      <w:r w:rsidR="002B3AED">
        <w:rPr>
          <w:sz w:val="28"/>
          <w:szCs w:val="28"/>
          <w:lang w:val="uk-UA"/>
        </w:rPr>
        <w:t>)</w:t>
      </w:r>
      <w:r w:rsidR="00EB03F0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та </w:t>
      </w:r>
      <w:r w:rsidR="002B3AED">
        <w:rPr>
          <w:sz w:val="28"/>
          <w:szCs w:val="28"/>
          <w:lang w:val="uk-UA"/>
        </w:rPr>
        <w:t>Харк</w:t>
      </w:r>
      <w:r w:rsidR="00EB03F0">
        <w:rPr>
          <w:sz w:val="28"/>
          <w:szCs w:val="28"/>
          <w:lang w:val="uk-UA"/>
        </w:rPr>
        <w:t>і</w:t>
      </w:r>
      <w:r w:rsidR="006263B4">
        <w:rPr>
          <w:sz w:val="28"/>
          <w:szCs w:val="28"/>
          <w:lang w:val="uk-UA"/>
        </w:rPr>
        <w:t>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</w:t>
      </w:r>
      <w:r w:rsidR="002B3AED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(</w:t>
      </w:r>
      <w:r w:rsidR="009C4C04">
        <w:rPr>
          <w:b/>
          <w:sz w:val="28"/>
          <w:szCs w:val="28"/>
          <w:lang w:val="uk-UA"/>
        </w:rPr>
        <w:t>11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9F66B8" w:rsidRDefault="00ED6427" w:rsidP="0052753E">
      <w:pPr>
        <w:spacing w:before="100" w:beforeAutospacing="1" w:after="100" w:afterAutospacing="1"/>
        <w:ind w:firstLine="425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9C4C04" w:rsidRPr="003F6800" w:rsidRDefault="009C4C04" w:rsidP="009C4C04">
      <w:pPr>
        <w:spacing w:before="100" w:beforeAutospacing="1" w:after="100" w:afterAutospacing="1"/>
        <w:ind w:firstLine="425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інформація про: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створення Громадської ради з питань люстрації при Міністерстві юстиції України</w:t>
      </w:r>
      <w:r w:rsidRPr="003F6800">
        <w:rPr>
          <w:sz w:val="28"/>
          <w:lang w:val="uk-UA"/>
        </w:rPr>
        <w:t>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записів про об’єкти нерухомого майна в Реєстрі прав власності на нерухоме майно та Державному реєстрі речових прав на нерухоме майно за період з 2003 по 2015 рік;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припинення діяльності приватного нотаріуса Луганського міського нотаріального округу </w:t>
      </w:r>
      <w:proofErr w:type="spellStart"/>
      <w:r>
        <w:rPr>
          <w:sz w:val="28"/>
          <w:lang w:val="uk-UA"/>
        </w:rPr>
        <w:t>Бурмістрової</w:t>
      </w:r>
      <w:proofErr w:type="spellEnd"/>
      <w:r>
        <w:rPr>
          <w:sz w:val="28"/>
          <w:lang w:val="uk-UA"/>
        </w:rPr>
        <w:t xml:space="preserve"> Наталії Вікторівни;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розмір заробітної плати Міністра юстиції України Петренка П.Д.;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проведення конкурсу на посаду начальника Головного територіального управління юстиції у Кіровоградській області;</w:t>
      </w:r>
    </w:p>
    <w:p w:rsidR="009C4C04" w:rsidRPr="005A54DD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місцезнаходження відділу державної виконавчої служби </w:t>
      </w:r>
      <w:proofErr w:type="spellStart"/>
      <w:r>
        <w:rPr>
          <w:sz w:val="28"/>
          <w:lang w:val="uk-UA"/>
        </w:rPr>
        <w:t>Мар</w:t>
      </w:r>
      <w:r w:rsidRPr="00B2568E">
        <w:rPr>
          <w:sz w:val="28"/>
          <w:lang w:val="uk-UA"/>
        </w:rPr>
        <w:t>’</w:t>
      </w:r>
      <w:r>
        <w:rPr>
          <w:sz w:val="28"/>
          <w:lang w:val="uk-UA"/>
        </w:rPr>
        <w:t>їнського</w:t>
      </w:r>
      <w:proofErr w:type="spellEnd"/>
      <w:r>
        <w:rPr>
          <w:sz w:val="28"/>
          <w:lang w:val="uk-UA"/>
        </w:rPr>
        <w:t xml:space="preserve"> </w:t>
      </w:r>
      <w:r w:rsidRPr="00B2568E">
        <w:rPr>
          <w:sz w:val="28"/>
          <w:lang w:val="uk-UA"/>
        </w:rPr>
        <w:t>районного управління юстиції у Донецькій області;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 w:rsidRPr="005A54DD">
        <w:rPr>
          <w:sz w:val="28"/>
          <w:lang w:val="uk-UA"/>
        </w:rPr>
        <w:t>перелік компаній, які надавали у 2015-2016 роках послуги страхування Міністерству юстиції, підприємствам, установам та організаціям, віднесеним до сфери управління</w:t>
      </w:r>
      <w:r>
        <w:rPr>
          <w:sz w:val="28"/>
          <w:lang w:val="uk-UA"/>
        </w:rPr>
        <w:t xml:space="preserve"> Міністерства юстиції України;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особу судового експерта;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електронну адресу для звернень громадян;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зустрічі </w:t>
      </w:r>
      <w:r w:rsidR="009E5119">
        <w:rPr>
          <w:sz w:val="28"/>
          <w:lang w:val="uk-UA"/>
        </w:rPr>
        <w:t xml:space="preserve">з представниками інших країн </w:t>
      </w:r>
      <w:r>
        <w:rPr>
          <w:sz w:val="28"/>
          <w:lang w:val="uk-UA"/>
        </w:rPr>
        <w:t>Міністра юстиції України за лютий 2016 року;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перелік документів, зокрема нормативно-правових актів, що зберігаються в архівних фондах Міністерства юстиції України та підпадають під дію Закону України «Про доступ до архівів репресивних органів комуністичного тоталітарного режиму 1917-1991 років» із зазначенням особи, відповідальної за виконання зазначеного закону, щодо доступу до архівів, особу та електронну поштову адресу відповідного архіву Міністерства юстиції України;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комунікаційну діяльність Міністерства юстиції України з 01 січня 2015 року по 31 грудня 2015 року;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видання, засновником/співзасновником яких є Міністерство юстиції України станом на 31 грудня 2015 року;</w:t>
      </w:r>
    </w:p>
    <w:p w:rsidR="009C4C04" w:rsidRPr="003F6800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штатну та фактичну кількість працівників підрозділів із взаємодії зі ЗМІ та громадськістю станом на 01 січня 2014 року та станом на 31 січня 2014 року;</w:t>
      </w:r>
    </w:p>
    <w:p w:rsidR="009C4C04" w:rsidRPr="003F6800" w:rsidRDefault="009C4C04" w:rsidP="009C4C04">
      <w:pPr>
        <w:spacing w:before="100" w:beforeAutospacing="1" w:after="100" w:afterAutospacing="1"/>
        <w:ind w:firstLine="425"/>
        <w:jc w:val="both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документ</w:t>
      </w:r>
      <w:r w:rsidRPr="003F6800">
        <w:rPr>
          <w:b/>
          <w:sz w:val="28"/>
          <w:szCs w:val="28"/>
          <w:lang w:val="en-US"/>
        </w:rPr>
        <w:t>и</w:t>
      </w:r>
      <w:r w:rsidRPr="003F6800">
        <w:rPr>
          <w:b/>
          <w:sz w:val="28"/>
          <w:szCs w:val="28"/>
          <w:lang w:val="uk-UA"/>
        </w:rPr>
        <w:t>: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копія положення про Департамент кадрової роботи та державної служби Міністерства юстиції України</w:t>
      </w:r>
      <w:r w:rsidRPr="003F6800">
        <w:rPr>
          <w:sz w:val="28"/>
          <w:lang w:val="uk-UA"/>
        </w:rPr>
        <w:t>;</w:t>
      </w:r>
    </w:p>
    <w:p w:rsidR="009C4C04" w:rsidRPr="003F6800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Закон України «Про захист персональних даних»;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наказ Міністерства юстиції України від 18 січня 2012 року № 91/5 «Про затвердження Порядку проведення органами юстиції перевірок стану правової роботи та систематизації законодавства», зареєстрований у Міністерстві юстиції України 19 січня 2012 року за № 75/20388;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наказ Міністерства юстиції України від 11 березня 2013 року № 403/5 «Про затвердження Примірної програми проведення перевірок стану правової роботи та систематизації законодавства в міністерствах, інших органах виконавчої влади, на державних підприємствах, в установах, організаціях та державних господарських об’єднаннях»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звіт про роботу державних та приватних нотаріусів за II півріччя 2015 року та за 2015 рік;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доручення Міністра юстиції України від 25 січня 2016 року № 7/8/32-16 з питання запровадження у місті Києві пілотного проекту «Он-лайн Будинок юстиції» та «Соціальний ліфт»</w:t>
      </w:r>
      <w:r w:rsidRPr="003F6800">
        <w:rPr>
          <w:sz w:val="28"/>
          <w:lang w:val="uk-UA"/>
        </w:rPr>
        <w:t>.</w:t>
      </w:r>
    </w:p>
    <w:p w:rsidR="00D510E4" w:rsidRDefault="00D510E4" w:rsidP="00D510E4">
      <w:pPr>
        <w:spacing w:before="100" w:beforeAutospacing="1" w:after="100" w:afterAutospacing="1"/>
        <w:ind w:left="426"/>
        <w:jc w:val="both"/>
        <w:rPr>
          <w:sz w:val="28"/>
          <w:lang w:val="uk-UA"/>
        </w:rPr>
      </w:pPr>
    </w:p>
    <w:p w:rsidR="00D510E4" w:rsidRPr="003F6800" w:rsidRDefault="00D510E4" w:rsidP="00D510E4">
      <w:pPr>
        <w:spacing w:before="100" w:beforeAutospacing="1" w:after="100" w:afterAutospacing="1"/>
        <w:ind w:left="426"/>
        <w:jc w:val="both"/>
        <w:rPr>
          <w:sz w:val="28"/>
          <w:lang w:val="uk-UA"/>
        </w:rPr>
      </w:pPr>
    </w:p>
    <w:p w:rsidR="0050794D" w:rsidRDefault="00921812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  <w:r w:rsidRPr="00E422A3">
        <w:rPr>
          <w:b/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2753E" w:rsidRPr="00E422A3" w:rsidRDefault="0052753E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</w:p>
    <w:p w:rsidR="00525970" w:rsidRDefault="00525970" w:rsidP="00525970">
      <w:pPr>
        <w:pStyle w:val="a6"/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 xml:space="preserve">Департаменту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 w:eastAsia="uk-UA"/>
        </w:rPr>
        <w:t>(</w:t>
      </w:r>
      <w:r w:rsidRPr="00525970">
        <w:rPr>
          <w:b/>
          <w:sz w:val="28"/>
          <w:szCs w:val="28"/>
          <w:lang w:val="uk-UA" w:eastAsia="uk-UA"/>
        </w:rPr>
        <w:t>11</w:t>
      </w:r>
      <w:r>
        <w:rPr>
          <w:sz w:val="28"/>
          <w:szCs w:val="28"/>
          <w:lang w:val="uk-UA" w:eastAsia="uk-UA"/>
        </w:rPr>
        <w:t xml:space="preserve"> запитів або </w:t>
      </w:r>
      <w:r w:rsidRPr="00525970">
        <w:rPr>
          <w:b/>
          <w:sz w:val="28"/>
          <w:szCs w:val="28"/>
          <w:lang w:val="uk-UA" w:eastAsia="uk-UA"/>
        </w:rPr>
        <w:t>14,7%</w:t>
      </w:r>
      <w:r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державної реєстрації</w:t>
      </w:r>
      <w:r>
        <w:rPr>
          <w:sz w:val="28"/>
          <w:szCs w:val="28"/>
          <w:lang w:val="uk-UA" w:eastAsia="uk-UA"/>
        </w:rPr>
        <w:t xml:space="preserve">, </w:t>
      </w:r>
      <w:r w:rsidRPr="00D044F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Департаменту </w:t>
      </w:r>
      <w:r w:rsidRPr="00D044F3">
        <w:rPr>
          <w:sz w:val="28"/>
          <w:szCs w:val="28"/>
          <w:lang w:val="uk-UA" w:eastAsia="uk-UA"/>
        </w:rPr>
        <w:t>з питань судової роботи та банкрутства (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12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="006F18E2" w:rsidRPr="006F18E2">
        <w:rPr>
          <w:sz w:val="28"/>
          <w:szCs w:val="28"/>
          <w:lang w:val="uk-UA" w:eastAsia="uk-UA"/>
        </w:rPr>
        <w:t xml:space="preserve"> </w:t>
      </w:r>
      <w:r w:rsidR="006F18E2"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 w:rsidR="006F18E2">
        <w:rPr>
          <w:sz w:val="28"/>
          <w:szCs w:val="28"/>
          <w:lang w:val="uk-UA" w:eastAsia="uk-UA"/>
        </w:rPr>
        <w:t xml:space="preserve">тів, </w:t>
      </w:r>
      <w:proofErr w:type="spellStart"/>
      <w:r w:rsidR="006F18E2">
        <w:rPr>
          <w:sz w:val="28"/>
          <w:szCs w:val="28"/>
          <w:lang w:val="uk-UA" w:eastAsia="uk-UA"/>
        </w:rPr>
        <w:t>правоосвітньої</w:t>
      </w:r>
      <w:proofErr w:type="spellEnd"/>
      <w:r w:rsidR="006F18E2">
        <w:rPr>
          <w:sz w:val="28"/>
          <w:szCs w:val="28"/>
          <w:lang w:val="uk-UA" w:eastAsia="uk-UA"/>
        </w:rPr>
        <w:t xml:space="preserve"> діяльності (</w:t>
      </w:r>
      <w:r>
        <w:rPr>
          <w:b/>
          <w:sz w:val="28"/>
          <w:szCs w:val="28"/>
          <w:lang w:val="uk-UA" w:eastAsia="uk-UA"/>
        </w:rPr>
        <w:t>8</w:t>
      </w:r>
      <w:r w:rsidR="006F18E2">
        <w:rPr>
          <w:sz w:val="28"/>
          <w:szCs w:val="28"/>
          <w:lang w:val="uk-UA" w:eastAsia="uk-UA"/>
        </w:rPr>
        <w:t xml:space="preserve"> запитів або  </w:t>
      </w:r>
      <w:r w:rsidR="006F18E2" w:rsidRPr="00721204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0,6</w:t>
      </w:r>
      <w:r w:rsidR="006F18E2" w:rsidRPr="00721204">
        <w:rPr>
          <w:b/>
          <w:sz w:val="28"/>
          <w:szCs w:val="28"/>
          <w:lang w:val="uk-UA" w:eastAsia="uk-UA"/>
        </w:rPr>
        <w:t>%</w:t>
      </w:r>
      <w:r w:rsidR="006F18E2"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або 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3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з них 5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>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 xml:space="preserve">Департаменту державної виконавчої служби </w:t>
      </w:r>
      <w:r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8</w:t>
      </w:r>
      <w:r w:rsidRPr="00E422A3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sz w:val="28"/>
          <w:szCs w:val="28"/>
          <w:lang w:val="uk-UA" w:eastAsia="uk-UA"/>
        </w:rPr>
        <w:t xml:space="preserve"> (</w:t>
      </w:r>
      <w:r w:rsidRPr="00525970">
        <w:rPr>
          <w:b/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запитів або </w:t>
      </w:r>
      <w:r w:rsidRPr="00525970">
        <w:rPr>
          <w:b/>
          <w:sz w:val="28"/>
          <w:szCs w:val="28"/>
          <w:lang w:val="uk-UA" w:eastAsia="uk-UA"/>
        </w:rPr>
        <w:t>6,7%</w:t>
      </w:r>
      <w:r>
        <w:rPr>
          <w:sz w:val="28"/>
          <w:szCs w:val="28"/>
          <w:lang w:val="uk-UA" w:eastAsia="uk-UA"/>
        </w:rPr>
        <w:t>),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з питань нотаріату</w:t>
      </w:r>
      <w:r>
        <w:rPr>
          <w:sz w:val="28"/>
          <w:szCs w:val="28"/>
          <w:lang w:val="uk-UA" w:eastAsia="uk-UA"/>
        </w:rPr>
        <w:t xml:space="preserve">, Департаменту взаємодії з органами влади та інформаційно-аналітичної роботи (по </w:t>
      </w:r>
      <w:r w:rsidRPr="00525970"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 або по </w:t>
      </w:r>
      <w:r w:rsidRPr="00525970">
        <w:rPr>
          <w:b/>
          <w:sz w:val="28"/>
          <w:szCs w:val="28"/>
          <w:lang w:val="uk-UA" w:eastAsia="uk-UA"/>
        </w:rPr>
        <w:t>5,3%</w:t>
      </w:r>
      <w:r>
        <w:rPr>
          <w:sz w:val="28"/>
          <w:szCs w:val="28"/>
          <w:lang w:val="uk-UA" w:eastAsia="uk-UA"/>
        </w:rPr>
        <w:t>),</w:t>
      </w:r>
      <w:r w:rsidR="00E422A3">
        <w:rPr>
          <w:sz w:val="28"/>
          <w:szCs w:val="28"/>
          <w:lang w:val="uk-UA" w:eastAsia="uk-UA"/>
        </w:rPr>
        <w:t xml:space="preserve"> Департаменту міжнародного права</w:t>
      </w:r>
      <w:r w:rsidR="00E422A3" w:rsidRPr="00E422A3">
        <w:rPr>
          <w:sz w:val="28"/>
          <w:szCs w:val="28"/>
          <w:lang w:val="uk-UA" w:eastAsia="uk-UA"/>
        </w:rPr>
        <w:t xml:space="preserve"> </w:t>
      </w:r>
      <w:r w:rsidR="00E422A3"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3</w:t>
      </w:r>
      <w:r w:rsidR="00E422A3">
        <w:rPr>
          <w:sz w:val="28"/>
          <w:szCs w:val="28"/>
          <w:lang w:val="uk-UA" w:eastAsia="uk-UA"/>
        </w:rPr>
        <w:t xml:space="preserve"> запити або </w:t>
      </w:r>
      <w:r w:rsidR="00E422A3">
        <w:rPr>
          <w:b/>
          <w:sz w:val="28"/>
          <w:szCs w:val="28"/>
          <w:lang w:val="uk-UA" w:eastAsia="uk-UA"/>
        </w:rPr>
        <w:t>4</w:t>
      </w:r>
      <w:r w:rsidR="00E422A3" w:rsidRPr="00721204">
        <w:rPr>
          <w:b/>
          <w:sz w:val="28"/>
          <w:szCs w:val="28"/>
          <w:lang w:val="uk-UA" w:eastAsia="uk-UA"/>
        </w:rPr>
        <w:t>%</w:t>
      </w:r>
      <w:r w:rsidR="00E422A3">
        <w:rPr>
          <w:sz w:val="28"/>
          <w:szCs w:val="28"/>
          <w:lang w:val="uk-UA" w:eastAsia="uk-UA"/>
        </w:rPr>
        <w:t xml:space="preserve">), </w:t>
      </w:r>
      <w:r w:rsidR="00721204" w:rsidRPr="00721204">
        <w:rPr>
          <w:sz w:val="28"/>
          <w:szCs w:val="28"/>
          <w:lang w:val="uk-UA" w:eastAsia="uk-UA"/>
        </w:rPr>
        <w:t xml:space="preserve"> </w:t>
      </w:r>
      <w:r w:rsidR="00E422A3">
        <w:rPr>
          <w:sz w:val="28"/>
          <w:szCs w:val="28"/>
          <w:lang w:val="uk-UA" w:eastAsia="uk-UA"/>
        </w:rPr>
        <w:t>Департаменту антикорупційного законодавств</w:t>
      </w:r>
      <w:r w:rsidR="0052753E">
        <w:rPr>
          <w:sz w:val="28"/>
          <w:szCs w:val="28"/>
          <w:lang w:val="uk-UA" w:eastAsia="uk-UA"/>
        </w:rPr>
        <w:t>а та з питань юстиції і безпеки</w:t>
      </w:r>
      <w:r>
        <w:rPr>
          <w:sz w:val="28"/>
          <w:szCs w:val="28"/>
          <w:lang w:val="uk-UA" w:eastAsia="uk-UA"/>
        </w:rPr>
        <w:t>,</w:t>
      </w:r>
      <w:r w:rsidR="00E422A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з питань люстрації,</w:t>
      </w:r>
      <w:r w:rsidRPr="0052597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</w:t>
      </w:r>
      <w:r w:rsidRPr="002C70E9">
        <w:rPr>
          <w:sz w:val="28"/>
          <w:szCs w:val="28"/>
          <w:lang w:val="uk-UA" w:eastAsia="uk-UA"/>
        </w:rPr>
        <w:t>епартаменту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, Прес-служби (по </w:t>
      </w:r>
      <w:r>
        <w:rPr>
          <w:b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запити або по </w:t>
      </w:r>
      <w:r w:rsidRPr="00E422A3">
        <w:rPr>
          <w:b/>
          <w:sz w:val="28"/>
          <w:szCs w:val="28"/>
          <w:lang w:val="uk-UA" w:eastAsia="uk-UA"/>
        </w:rPr>
        <w:t>2</w:t>
      </w:r>
      <w:r w:rsidRPr="00A65C5A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7</w:t>
      </w:r>
      <w:r w:rsidRPr="00A65C5A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 Адміністративно-господарського департаменту (</w:t>
      </w:r>
      <w:r w:rsidRPr="00525970">
        <w:rPr>
          <w:b/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 xml:space="preserve"> запит або </w:t>
      </w:r>
      <w:r w:rsidRPr="00525970">
        <w:rPr>
          <w:b/>
          <w:sz w:val="28"/>
          <w:szCs w:val="28"/>
          <w:lang w:val="uk-UA" w:eastAsia="uk-UA"/>
        </w:rPr>
        <w:t>1,3%</w:t>
      </w:r>
      <w:r>
        <w:rPr>
          <w:sz w:val="28"/>
          <w:szCs w:val="28"/>
          <w:lang w:val="uk-UA" w:eastAsia="uk-UA"/>
        </w:rPr>
        <w:t>).</w:t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br/>
      </w:r>
      <w:r w:rsidR="006F18E2" w:rsidRPr="006F18E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72710" cy="897890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921812" w:rsidRDefault="001D3210" w:rsidP="00D375A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921812" w:rsidRPr="00556081" w:rsidRDefault="00D510E4" w:rsidP="0052597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63E62">
        <w:rPr>
          <w:b/>
          <w:sz w:val="28"/>
          <w:szCs w:val="28"/>
          <w:lang w:val="uk-UA"/>
        </w:rPr>
        <w:t>6</w:t>
      </w:r>
      <w:r w:rsidR="00D510E4">
        <w:rPr>
          <w:b/>
          <w:sz w:val="28"/>
          <w:szCs w:val="28"/>
          <w:lang w:val="uk-UA"/>
        </w:rPr>
        <w:t>6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510E4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6F18E2">
        <w:rPr>
          <w:b/>
          <w:sz w:val="28"/>
          <w:szCs w:val="28"/>
          <w:lang w:val="uk-UA"/>
        </w:rPr>
        <w:t>88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163E62" w:rsidRPr="00163E62">
        <w:rPr>
          <w:b/>
          <w:sz w:val="28"/>
          <w:szCs w:val="28"/>
          <w:lang w:val="uk-UA"/>
        </w:rPr>
        <w:t>1</w:t>
      </w:r>
      <w:r w:rsidR="00D510E4"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="00EB03F0">
        <w:rPr>
          <w:sz w:val="28"/>
          <w:szCs w:val="28"/>
          <w:lang w:val="uk-UA"/>
        </w:rPr>
        <w:t>запит</w:t>
      </w:r>
      <w:r w:rsidR="00163E6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>
        <w:rPr>
          <w:b/>
          <w:sz w:val="28"/>
          <w:szCs w:val="28"/>
          <w:lang w:val="uk-UA"/>
        </w:rPr>
        <w:t>22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7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B03F0">
        <w:rPr>
          <w:b/>
          <w:sz w:val="28"/>
          <w:szCs w:val="28"/>
          <w:lang w:val="uk-UA"/>
        </w:rPr>
        <w:t>4</w:t>
      </w:r>
      <w:r w:rsidR="00163E62">
        <w:rPr>
          <w:b/>
          <w:sz w:val="28"/>
          <w:szCs w:val="28"/>
          <w:lang w:val="uk-UA"/>
        </w:rPr>
        <w:t>9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EB03F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 w:rsidRPr="006F18E2">
        <w:rPr>
          <w:b/>
          <w:sz w:val="28"/>
          <w:szCs w:val="28"/>
          <w:lang w:val="uk-UA"/>
        </w:rPr>
        <w:t>65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D510E4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D17A2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>
        <w:rPr>
          <w:b/>
          <w:sz w:val="28"/>
          <w:szCs w:val="28"/>
          <w:lang w:val="uk-UA"/>
        </w:rPr>
        <w:t>12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="00D510E4">
        <w:rPr>
          <w:sz w:val="28"/>
          <w:szCs w:val="28"/>
          <w:lang w:val="uk-UA"/>
        </w:rPr>
        <w:t>.</w:t>
      </w:r>
    </w:p>
    <w:p w:rsidR="00921812" w:rsidRPr="00556081" w:rsidRDefault="004976D5" w:rsidP="00DB5713">
      <w:pPr>
        <w:jc w:val="both"/>
        <w:rPr>
          <w:sz w:val="28"/>
          <w:szCs w:val="28"/>
          <w:lang w:val="uk-UA"/>
        </w:rPr>
      </w:pPr>
      <w:r w:rsidRPr="004976D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14963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   </w:t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556081">
        <w:rPr>
          <w:b/>
          <w:sz w:val="28"/>
          <w:szCs w:val="28"/>
          <w:lang w:val="uk-UA"/>
        </w:rPr>
        <w:t xml:space="preserve">    Н.А. </w:t>
      </w:r>
      <w:proofErr w:type="spellStart"/>
      <w:r w:rsidRPr="00556081">
        <w:rPr>
          <w:b/>
          <w:sz w:val="28"/>
          <w:szCs w:val="28"/>
          <w:lang w:val="uk-UA"/>
        </w:rPr>
        <w:t>Железняк</w:t>
      </w:r>
      <w:proofErr w:type="spellEnd"/>
    </w:p>
    <w:p w:rsidR="00921812" w:rsidRDefault="00D510E4" w:rsidP="00B76C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29.03.2016</w:t>
      </w:r>
    </w:p>
    <w:p w:rsidR="00D510E4" w:rsidRDefault="00D510E4" w:rsidP="00B76C7E">
      <w:pPr>
        <w:rPr>
          <w:sz w:val="28"/>
          <w:szCs w:val="28"/>
          <w:lang w:val="uk-UA"/>
        </w:rPr>
      </w:pPr>
    </w:p>
    <w:p w:rsidR="00D510E4" w:rsidRDefault="00D510E4" w:rsidP="00B76C7E">
      <w:pPr>
        <w:rPr>
          <w:sz w:val="28"/>
          <w:szCs w:val="28"/>
          <w:lang w:val="uk-UA"/>
        </w:rPr>
      </w:pPr>
    </w:p>
    <w:p w:rsidR="00D510E4" w:rsidRDefault="00D510E4" w:rsidP="00B76C7E">
      <w:pPr>
        <w:rPr>
          <w:sz w:val="28"/>
          <w:szCs w:val="28"/>
          <w:lang w:val="uk-UA"/>
        </w:rPr>
      </w:pPr>
    </w:p>
    <w:p w:rsidR="00D510E4" w:rsidRDefault="00D510E4" w:rsidP="00B76C7E">
      <w:pPr>
        <w:rPr>
          <w:sz w:val="28"/>
          <w:szCs w:val="28"/>
          <w:lang w:val="uk-UA"/>
        </w:rPr>
      </w:pPr>
    </w:p>
    <w:p w:rsidR="009F2EB4" w:rsidRPr="00E422A3" w:rsidRDefault="009F2EB4" w:rsidP="00B76C7E">
      <w:pPr>
        <w:rPr>
          <w:b/>
          <w:sz w:val="16"/>
          <w:szCs w:val="16"/>
          <w:lang w:val="uk-UA"/>
        </w:rPr>
      </w:pPr>
      <w:proofErr w:type="spellStart"/>
      <w:r w:rsidRPr="00E422A3">
        <w:rPr>
          <w:sz w:val="16"/>
          <w:szCs w:val="16"/>
          <w:lang w:val="uk-UA"/>
        </w:rPr>
        <w:t>Мангер</w:t>
      </w:r>
      <w:proofErr w:type="spellEnd"/>
      <w:r w:rsidRPr="00E422A3">
        <w:rPr>
          <w:sz w:val="16"/>
          <w:szCs w:val="16"/>
          <w:lang w:val="uk-UA"/>
        </w:rPr>
        <w:t xml:space="preserve"> Н.П.: 279-17-35</w:t>
      </w:r>
    </w:p>
    <w:sectPr w:rsidR="009F2EB4" w:rsidRPr="00E422A3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970" w:rsidRDefault="00525970" w:rsidP="00BB617A">
      <w:r>
        <w:separator/>
      </w:r>
    </w:p>
  </w:endnote>
  <w:endnote w:type="continuationSeparator" w:id="0">
    <w:p w:rsidR="00525970" w:rsidRDefault="00525970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970" w:rsidRDefault="00525970" w:rsidP="00BB617A">
      <w:r>
        <w:separator/>
      </w:r>
    </w:p>
  </w:footnote>
  <w:footnote w:type="continuationSeparator" w:id="0">
    <w:p w:rsidR="00525970" w:rsidRDefault="00525970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70" w:rsidRDefault="00805977">
    <w:pPr>
      <w:pStyle w:val="a8"/>
      <w:jc w:val="center"/>
    </w:pPr>
    <w:fldSimple w:instr=" PAGE   \* MERGEFORMAT ">
      <w:r w:rsidR="009E5119">
        <w:rPr>
          <w:noProof/>
        </w:rPr>
        <w:t>2</w:t>
      </w:r>
    </w:fldSimple>
  </w:p>
  <w:p w:rsidR="00525970" w:rsidRDefault="0052597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12D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3E62"/>
    <w:rsid w:val="00164864"/>
    <w:rsid w:val="0016533E"/>
    <w:rsid w:val="00165E70"/>
    <w:rsid w:val="0016668F"/>
    <w:rsid w:val="0017085D"/>
    <w:rsid w:val="00170A59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4D09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30F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AED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5CF6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6A58"/>
    <w:rsid w:val="0049724E"/>
    <w:rsid w:val="004976D5"/>
    <w:rsid w:val="00497708"/>
    <w:rsid w:val="004A3072"/>
    <w:rsid w:val="004A3163"/>
    <w:rsid w:val="004A3616"/>
    <w:rsid w:val="004A3B2F"/>
    <w:rsid w:val="004B3AC3"/>
    <w:rsid w:val="004B58C6"/>
    <w:rsid w:val="004B5FD8"/>
    <w:rsid w:val="004B6A7F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970"/>
    <w:rsid w:val="00525D9A"/>
    <w:rsid w:val="005261A7"/>
    <w:rsid w:val="0052753E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50C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8E2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204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CEF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5DD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5977"/>
    <w:rsid w:val="00807ACC"/>
    <w:rsid w:val="00810137"/>
    <w:rsid w:val="00810268"/>
    <w:rsid w:val="00811968"/>
    <w:rsid w:val="00812352"/>
    <w:rsid w:val="00814186"/>
    <w:rsid w:val="0081550E"/>
    <w:rsid w:val="00820059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46E95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1AC7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C36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4C04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5119"/>
    <w:rsid w:val="009E622A"/>
    <w:rsid w:val="009E7450"/>
    <w:rsid w:val="009E74FF"/>
    <w:rsid w:val="009F01B9"/>
    <w:rsid w:val="009F193E"/>
    <w:rsid w:val="009F2EB4"/>
    <w:rsid w:val="009F30DF"/>
    <w:rsid w:val="009F66B8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98E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3F45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17A2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0E4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22A3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6D82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03F0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46B7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2B0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50C0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592E-2"/>
                  <c:y val="2.8435039370078751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42</c:v>
                </c:pt>
                <c:pt idx="1">
                  <c:v>33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73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58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233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1974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8001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82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81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5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906"/>
                  <c:y val="0.10510176472157488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91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(12)'!$G$6:$G$20</c:f>
              <c:strCache>
                <c:ptCount val="15"/>
                <c:pt idx="0">
                  <c:v>Департамент цивільного, фінансового законодавства та законодавства з питань земельних відносин - 11 запитів або 14,7 % </c:v>
                </c:pt>
                <c:pt idx="1">
                  <c:v>Департамент державної реєстрації - 9 запитів або 12 %  </c:v>
                </c:pt>
                <c:pt idx="2">
                  <c:v>Департамент з питань судової роботи та банкрутства - 9 запитів або 12 % </c:v>
                </c:pt>
                <c:pt idx="3">
                  <c:v>Департамент реєстрації та систематизації нормативних актів, правоосвітньої діяльності - 8 запитів або 10,6%</c:v>
                </c:pt>
                <c:pt idx="4">
                  <c:v>Департамент організаційного забезпечення та контролю  - 7 запитів або 9,3 % (з них 5 запитів надіслано за належністю до інших розпорядників інформації)</c:v>
                </c:pt>
                <c:pt idx="5">
                  <c:v>Департамент державної виконавчої служби - 6 запитів або 8 %</c:v>
                </c:pt>
                <c:pt idx="6">
                  <c:v>Департамент кадрової роботи та державної служби - 5 запитів або 6,7 % </c:v>
                </c:pt>
                <c:pt idx="7">
                  <c:v>Департамент з питань нотаріату  -  4 запити або 5,3%</c:v>
                </c:pt>
                <c:pt idx="8">
                  <c:v>Департамент взаємодії з органами влади та інформаційно-аналітичної роботи  -  4 запити або 5,3% </c:v>
                </c:pt>
                <c:pt idx="9">
                  <c:v>Департамент міжнародного права - 3 запити або 4 %</c:v>
                </c:pt>
                <c:pt idx="10">
                  <c:v>Департамент антикорупційного законодавства та з питань юстиції і безпеки - 2 запити або 2,7 %</c:v>
                </c:pt>
                <c:pt idx="11">
                  <c:v>Департамент з питань люстрації - 2 запити або 2,7 % </c:v>
                </c:pt>
                <c:pt idx="12">
                  <c:v>Департамент конституційного, адміністративного та соціального законодавства - 2 запити або 2,7% </c:v>
                </c:pt>
                <c:pt idx="13">
                  <c:v>Прес-служба - 2 запит або 2,7%</c:v>
                </c:pt>
                <c:pt idx="14">
                  <c:v>Адміністративно-господарський департамент - 1 запит або  1,3%</c:v>
                </c:pt>
              </c:strCache>
            </c:strRef>
          </c:cat>
          <c:val>
            <c:numRef>
              <c:f>'21.01.2016-31.01.2016 (12)'!$H$6:$H$20</c:f>
              <c:numCache>
                <c:formatCode>General</c:formatCode>
                <c:ptCount val="15"/>
                <c:pt idx="0">
                  <c:v>11</c:v>
                </c:pt>
                <c:pt idx="1">
                  <c:v>9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6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718E-2"/>
          <c:y val="0.37673626373626795"/>
          <c:w val="0.89713869457304962"/>
          <c:h val="0.6228906339201141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384E-2"/>
                  <c:y val="-0.103759052982151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4.7728340461828771E-2"/>
                  <c:y val="-7.41605570691658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91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(12)'!$B$48:$B$50</c:f>
              <c:strCache>
                <c:ptCount val="3"/>
                <c:pt idx="0">
                  <c:v>На 49 запитів або 65,3% надано роз'яснення законодавства України</c:v>
                </c:pt>
                <c:pt idx="1">
                  <c:v>На 17 запитів або 22,7 % надано публічну інформацію</c:v>
                </c:pt>
                <c:pt idx="2">
                  <c:v>Надіслано за належністю до інших розпорядників інформації для розгляду та надання відповіді 9 запитів або 12 %</c:v>
                </c:pt>
              </c:strCache>
            </c:strRef>
          </c:cat>
          <c:val>
            <c:numRef>
              <c:f>'21.01.2016-31.01.2016 (12)'!$C$48:$C$50</c:f>
              <c:numCache>
                <c:formatCode>General</c:formatCode>
                <c:ptCount val="3"/>
                <c:pt idx="0">
                  <c:v>49</c:v>
                </c:pt>
                <c:pt idx="1">
                  <c:v>17</c:v>
                </c:pt>
                <c:pt idx="2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431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249B5-472D-42F3-AE4D-32076585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742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40</cp:revision>
  <cp:lastPrinted>2016-03-29T07:45:00Z</cp:lastPrinted>
  <dcterms:created xsi:type="dcterms:W3CDTF">2015-10-08T11:18:00Z</dcterms:created>
  <dcterms:modified xsi:type="dcterms:W3CDTF">2016-03-29T12:32:00Z</dcterms:modified>
</cp:coreProperties>
</file>