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2411" w:rsidRDefault="00632411" w:rsidP="00FD594D">
      <w:pPr>
        <w:spacing w:after="200" w:line="276" w:lineRule="auto"/>
        <w:ind w:left="2832" w:firstLine="708"/>
        <w:contextualSpacing/>
        <w:rPr>
          <w:rFonts w:ascii="AcademyC" w:eastAsia="Calibri" w:hAnsi="AcademyC" w:cs="Times New Roman"/>
          <w:b/>
          <w:color w:val="000000"/>
          <w:sz w:val="24"/>
        </w:rPr>
      </w:pPr>
    </w:p>
    <w:p w:rsidR="00632411" w:rsidRDefault="00632411" w:rsidP="00FD594D">
      <w:pPr>
        <w:spacing w:after="200" w:line="276" w:lineRule="auto"/>
        <w:ind w:left="2832" w:firstLine="708"/>
        <w:contextualSpacing/>
        <w:rPr>
          <w:rFonts w:ascii="AcademyC" w:eastAsia="Calibri" w:hAnsi="AcademyC" w:cs="Times New Roman"/>
          <w:b/>
          <w:color w:val="000000"/>
          <w:sz w:val="24"/>
        </w:rPr>
      </w:pPr>
    </w:p>
    <w:p w:rsidR="00D81FF3" w:rsidRDefault="006575F5" w:rsidP="00FD594D">
      <w:pPr>
        <w:spacing w:after="200" w:line="276" w:lineRule="auto"/>
        <w:ind w:left="2832" w:firstLine="708"/>
        <w:contextualSpacing/>
        <w:rPr>
          <w:rFonts w:ascii="AcademyC" w:eastAsia="Calibri" w:hAnsi="AcademyC" w:cs="Times New Roman"/>
          <w:b/>
          <w:color w:val="000000"/>
          <w:sz w:val="24"/>
        </w:rPr>
      </w:pPr>
      <w:r w:rsidRPr="00D81FF3">
        <w:rPr>
          <w:rFonts w:ascii="Calibri" w:eastAsia="Calibri" w:hAnsi="Calibri" w:cs="Times New Roman"/>
          <w:noProof/>
          <w:lang w:eastAsia="uk-UA"/>
        </w:rPr>
        <w:drawing>
          <wp:anchor distT="0" distB="0" distL="114300" distR="114300" simplePos="0" relativeHeight="251659264" behindDoc="0" locked="0" layoutInCell="1" allowOverlap="1">
            <wp:simplePos x="0" y="0"/>
            <wp:positionH relativeFrom="column">
              <wp:posOffset>2674620</wp:posOffset>
            </wp:positionH>
            <wp:positionV relativeFrom="paragraph">
              <wp:posOffset>-242570</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anchor>
        </w:drawing>
      </w:r>
    </w:p>
    <w:p w:rsidR="00FD594D" w:rsidRPr="00D81FF3" w:rsidRDefault="00FD594D" w:rsidP="00FD594D">
      <w:pPr>
        <w:spacing w:after="200" w:line="276" w:lineRule="auto"/>
        <w:ind w:left="2832" w:firstLine="708"/>
        <w:contextualSpacing/>
        <w:rPr>
          <w:rFonts w:ascii="AcademyC" w:eastAsia="Calibri" w:hAnsi="AcademyC" w:cs="Times New Roman"/>
          <w:b/>
          <w:color w:val="000000"/>
          <w:sz w:val="24"/>
        </w:rPr>
      </w:pPr>
    </w:p>
    <w:p w:rsidR="00D81FF3" w:rsidRPr="00D81FF3" w:rsidRDefault="00D81FF3" w:rsidP="00D81FF3">
      <w:pPr>
        <w:spacing w:after="0" w:line="240" w:lineRule="auto"/>
        <w:jc w:val="center"/>
        <w:rPr>
          <w:rFonts w:ascii="AcademyC" w:eastAsia="Calibri" w:hAnsi="AcademyC" w:cs="Times New Roman"/>
          <w:sz w:val="28"/>
        </w:rPr>
      </w:pPr>
      <w:r w:rsidRPr="00D81FF3">
        <w:rPr>
          <w:rFonts w:ascii="AcademyC" w:eastAsia="Calibri" w:hAnsi="AcademyC" w:cs="Times New Roman"/>
          <w:sz w:val="28"/>
        </w:rPr>
        <w:t>УКРАЇНА</w:t>
      </w:r>
    </w:p>
    <w:p w:rsidR="00D81FF3" w:rsidRPr="00D81FF3" w:rsidRDefault="00D81FF3" w:rsidP="00D81FF3">
      <w:pPr>
        <w:spacing w:after="0" w:line="240" w:lineRule="auto"/>
        <w:jc w:val="center"/>
        <w:rPr>
          <w:rFonts w:ascii="AcademyC" w:eastAsia="Calibri" w:hAnsi="AcademyC" w:cs="Times New Roman"/>
          <w:sz w:val="28"/>
          <w:szCs w:val="28"/>
        </w:rPr>
      </w:pPr>
      <w:r w:rsidRPr="00D81FF3">
        <w:rPr>
          <w:rFonts w:ascii="AcademyC" w:eastAsia="Calibri" w:hAnsi="AcademyC" w:cs="Times New Roman"/>
          <w:sz w:val="28"/>
          <w:szCs w:val="28"/>
        </w:rPr>
        <w:t>ВИЩА  РАДА  ПРАВОСУДДЯ</w:t>
      </w:r>
    </w:p>
    <w:p w:rsidR="00D81FF3" w:rsidRPr="00D81FF3" w:rsidRDefault="00D81FF3" w:rsidP="00D81FF3">
      <w:pPr>
        <w:spacing w:after="0" w:line="240" w:lineRule="auto"/>
        <w:jc w:val="center"/>
        <w:rPr>
          <w:rFonts w:ascii="AcademyC" w:eastAsia="Calibri" w:hAnsi="AcademyC" w:cs="Times New Roman"/>
          <w:sz w:val="28"/>
          <w:szCs w:val="28"/>
          <w:lang w:val="ru-RU"/>
        </w:rPr>
      </w:pPr>
      <w:r w:rsidRPr="00D81FF3">
        <w:rPr>
          <w:rFonts w:ascii="AcademyC" w:eastAsia="Calibri" w:hAnsi="AcademyC" w:cs="Times New Roman"/>
          <w:sz w:val="28"/>
          <w:szCs w:val="28"/>
        </w:rPr>
        <w:t>ДРУГА ДИСЦИПЛІНАРНА ПАЛАТА</w:t>
      </w:r>
    </w:p>
    <w:p w:rsidR="00D81FF3" w:rsidRDefault="00D81FF3" w:rsidP="00D81FF3">
      <w:pPr>
        <w:spacing w:after="0" w:line="240" w:lineRule="auto"/>
        <w:jc w:val="center"/>
        <w:rPr>
          <w:rFonts w:ascii="AcademyC" w:eastAsia="Calibri" w:hAnsi="AcademyC" w:cs="Times New Roman"/>
          <w:sz w:val="28"/>
          <w:szCs w:val="28"/>
        </w:rPr>
      </w:pPr>
      <w:r w:rsidRPr="00D81FF3">
        <w:rPr>
          <w:rFonts w:ascii="AcademyC" w:eastAsia="Calibri" w:hAnsi="AcademyC" w:cs="Times New Roman"/>
          <w:sz w:val="28"/>
          <w:szCs w:val="28"/>
        </w:rPr>
        <w:t>УХВАЛА</w:t>
      </w:r>
    </w:p>
    <w:p w:rsidR="00326E3D" w:rsidRPr="00D81FF3" w:rsidRDefault="00326E3D" w:rsidP="00D81FF3">
      <w:pPr>
        <w:spacing w:after="0" w:line="240" w:lineRule="auto"/>
        <w:jc w:val="center"/>
        <w:rPr>
          <w:rFonts w:ascii="AcademyC" w:eastAsia="Calibri" w:hAnsi="AcademyC" w:cs="Times New Roman"/>
          <w:sz w:val="28"/>
          <w:szCs w:val="28"/>
        </w:rPr>
      </w:pPr>
    </w:p>
    <w:tbl>
      <w:tblPr>
        <w:tblW w:w="10031" w:type="dxa"/>
        <w:tblLook w:val="04A0" w:firstRow="1" w:lastRow="0" w:firstColumn="1" w:lastColumn="0" w:noHBand="0" w:noVBand="1"/>
      </w:tblPr>
      <w:tblGrid>
        <w:gridCol w:w="3098"/>
        <w:gridCol w:w="3309"/>
        <w:gridCol w:w="3624"/>
      </w:tblGrid>
      <w:tr w:rsidR="00D81FF3" w:rsidRPr="00D81FF3" w:rsidTr="006233D6">
        <w:trPr>
          <w:trHeight w:val="188"/>
        </w:trPr>
        <w:tc>
          <w:tcPr>
            <w:tcW w:w="3098" w:type="dxa"/>
          </w:tcPr>
          <w:p w:rsidR="00D81FF3" w:rsidRPr="00D81FF3" w:rsidRDefault="00391A7E" w:rsidP="005B0981">
            <w:pPr>
              <w:spacing w:after="200" w:line="276" w:lineRule="auto"/>
              <w:ind w:left="-247" w:right="-2"/>
              <w:rPr>
                <w:rFonts w:ascii="Times New Roman" w:eastAsia="Calibri" w:hAnsi="Times New Roman" w:cs="Times New Roman"/>
                <w:noProof/>
                <w:sz w:val="28"/>
                <w:szCs w:val="28"/>
                <w:lang w:val="en-US"/>
              </w:rPr>
            </w:pPr>
            <w:r>
              <w:rPr>
                <w:rFonts w:ascii="Times New Roman" w:eastAsia="Calibri" w:hAnsi="Times New Roman" w:cs="Times New Roman"/>
                <w:noProof/>
                <w:sz w:val="28"/>
                <w:szCs w:val="28"/>
                <w:lang w:val="ru-RU"/>
              </w:rPr>
              <w:t>_</w:t>
            </w:r>
            <w:r w:rsidR="005B0981">
              <w:rPr>
                <w:rFonts w:ascii="Times New Roman" w:eastAsia="Calibri" w:hAnsi="Times New Roman" w:cs="Times New Roman"/>
                <w:noProof/>
                <w:sz w:val="28"/>
                <w:szCs w:val="28"/>
                <w:u w:val="single"/>
                <w:lang w:val="ru-RU"/>
              </w:rPr>
              <w:t>7 серпня 2024 року</w:t>
            </w:r>
            <w:r w:rsidR="00155D3D">
              <w:rPr>
                <w:rFonts w:ascii="Times New Roman" w:eastAsia="Calibri" w:hAnsi="Times New Roman" w:cs="Times New Roman"/>
                <w:noProof/>
                <w:sz w:val="28"/>
                <w:szCs w:val="28"/>
                <w:lang w:val="ru-RU"/>
              </w:rPr>
              <w:t xml:space="preserve"> </w:t>
            </w:r>
          </w:p>
        </w:tc>
        <w:tc>
          <w:tcPr>
            <w:tcW w:w="3309" w:type="dxa"/>
          </w:tcPr>
          <w:p w:rsidR="00D81FF3" w:rsidRPr="00D81FF3" w:rsidRDefault="00D81FF3" w:rsidP="00D81FF3">
            <w:pPr>
              <w:spacing w:after="200" w:line="276" w:lineRule="auto"/>
              <w:ind w:right="-2"/>
              <w:jc w:val="center"/>
              <w:rPr>
                <w:rFonts w:ascii="Book Antiqua" w:eastAsia="Calibri" w:hAnsi="Book Antiqua" w:cs="Times New Roman"/>
                <w:noProof/>
                <w:sz w:val="24"/>
              </w:rPr>
            </w:pPr>
            <w:r w:rsidRPr="00D81FF3">
              <w:rPr>
                <w:rFonts w:ascii="Book Antiqua" w:eastAsia="Calibri" w:hAnsi="Book Antiqua" w:cs="Times New Roman"/>
                <w:sz w:val="24"/>
              </w:rPr>
              <w:t>Київ</w:t>
            </w:r>
          </w:p>
        </w:tc>
        <w:tc>
          <w:tcPr>
            <w:tcW w:w="3624" w:type="dxa"/>
          </w:tcPr>
          <w:p w:rsidR="00D81FF3" w:rsidRPr="005B0981" w:rsidRDefault="00155D3D" w:rsidP="005B0981">
            <w:pPr>
              <w:spacing w:after="200" w:line="276" w:lineRule="auto"/>
              <w:ind w:right="-2"/>
              <w:jc w:val="center"/>
              <w:rPr>
                <w:rFonts w:ascii="Times New Roman" w:eastAsia="Calibri" w:hAnsi="Times New Roman" w:cs="Times New Roman"/>
                <w:noProof/>
                <w:sz w:val="28"/>
                <w:szCs w:val="28"/>
                <w:u w:val="single"/>
                <w:lang w:val="ru-RU"/>
              </w:rPr>
            </w:pPr>
            <w:r>
              <w:rPr>
                <w:rFonts w:ascii="Times New Roman" w:eastAsia="Calibri" w:hAnsi="Times New Roman" w:cs="Times New Roman"/>
                <w:noProof/>
                <w:sz w:val="28"/>
                <w:szCs w:val="28"/>
                <w:lang w:val="ru-RU"/>
              </w:rPr>
              <w:t xml:space="preserve">№ </w:t>
            </w:r>
            <w:r w:rsidR="005B0981">
              <w:rPr>
                <w:rFonts w:ascii="Times New Roman" w:eastAsia="Calibri" w:hAnsi="Times New Roman" w:cs="Times New Roman"/>
                <w:noProof/>
                <w:sz w:val="28"/>
                <w:szCs w:val="28"/>
                <w:u w:val="single"/>
                <w:lang w:val="ru-RU"/>
              </w:rPr>
              <w:t>2413/2дп/15-24</w:t>
            </w:r>
          </w:p>
        </w:tc>
      </w:tr>
    </w:tbl>
    <w:p w:rsidR="00632411" w:rsidRDefault="00632411" w:rsidP="00D81FF3">
      <w:pPr>
        <w:widowControl w:val="0"/>
        <w:autoSpaceDN w:val="0"/>
        <w:spacing w:after="0" w:line="240" w:lineRule="auto"/>
        <w:ind w:right="4960"/>
        <w:jc w:val="both"/>
        <w:rPr>
          <w:rFonts w:ascii="Times New Roman" w:eastAsia="Calibri" w:hAnsi="Times New Roman" w:cs="Times New Roman"/>
          <w:b/>
          <w:bCs/>
          <w:sz w:val="24"/>
          <w:szCs w:val="24"/>
          <w:lang w:eastAsia="ru-RU"/>
        </w:rPr>
      </w:pPr>
    </w:p>
    <w:p w:rsidR="00632411" w:rsidRDefault="00632411" w:rsidP="00D81FF3">
      <w:pPr>
        <w:widowControl w:val="0"/>
        <w:autoSpaceDN w:val="0"/>
        <w:spacing w:after="0" w:line="240" w:lineRule="auto"/>
        <w:ind w:right="4960"/>
        <w:jc w:val="both"/>
        <w:rPr>
          <w:rFonts w:ascii="Times New Roman" w:eastAsia="Calibri" w:hAnsi="Times New Roman" w:cs="Times New Roman"/>
          <w:b/>
          <w:bCs/>
          <w:sz w:val="24"/>
          <w:szCs w:val="24"/>
          <w:lang w:eastAsia="ru-RU"/>
        </w:rPr>
      </w:pPr>
    </w:p>
    <w:p w:rsidR="00466FF6" w:rsidRDefault="00D81FF3" w:rsidP="00D81FF3">
      <w:pPr>
        <w:widowControl w:val="0"/>
        <w:autoSpaceDN w:val="0"/>
        <w:spacing w:after="0" w:line="240" w:lineRule="auto"/>
        <w:ind w:right="4960"/>
        <w:jc w:val="both"/>
        <w:rPr>
          <w:rFonts w:ascii="Times New Roman" w:eastAsia="Calibri" w:hAnsi="Times New Roman" w:cs="Times New Roman"/>
          <w:b/>
          <w:bCs/>
          <w:sz w:val="24"/>
          <w:szCs w:val="24"/>
          <w:lang w:eastAsia="ru-RU"/>
        </w:rPr>
      </w:pPr>
      <w:r w:rsidRPr="00D81FF3">
        <w:rPr>
          <w:rFonts w:ascii="Times New Roman" w:eastAsia="Calibri" w:hAnsi="Times New Roman" w:cs="Times New Roman"/>
          <w:b/>
          <w:bCs/>
          <w:sz w:val="24"/>
          <w:szCs w:val="24"/>
          <w:lang w:eastAsia="ru-RU"/>
        </w:rPr>
        <w:t xml:space="preserve">Про відкриття дисциплінарної справи стосовно судді </w:t>
      </w:r>
      <w:r w:rsidR="00466FF6">
        <w:rPr>
          <w:rFonts w:ascii="Times New Roman" w:eastAsia="Calibri" w:hAnsi="Times New Roman" w:cs="Times New Roman"/>
          <w:b/>
          <w:bCs/>
          <w:sz w:val="24"/>
          <w:szCs w:val="24"/>
          <w:lang w:eastAsia="ru-RU"/>
        </w:rPr>
        <w:t xml:space="preserve">Рівненського міського суду Рівненської області Рогозіна С.В. </w:t>
      </w:r>
    </w:p>
    <w:p w:rsidR="00D81FF3" w:rsidRDefault="00D81FF3" w:rsidP="00D81FF3">
      <w:pPr>
        <w:autoSpaceDN w:val="0"/>
        <w:spacing w:after="0" w:line="100" w:lineRule="atLeast"/>
        <w:ind w:firstLine="684"/>
        <w:jc w:val="both"/>
        <w:rPr>
          <w:rFonts w:ascii="Times New Roman" w:eastAsia="Calibri" w:hAnsi="Times New Roman" w:cs="Times New Roman"/>
          <w:sz w:val="28"/>
          <w:szCs w:val="28"/>
        </w:rPr>
      </w:pPr>
    </w:p>
    <w:p w:rsidR="00507113" w:rsidRDefault="00507113" w:rsidP="00D81FF3">
      <w:pPr>
        <w:autoSpaceDN w:val="0"/>
        <w:spacing w:after="0" w:line="100" w:lineRule="atLeast"/>
        <w:ind w:firstLine="684"/>
        <w:jc w:val="both"/>
        <w:rPr>
          <w:rFonts w:ascii="Times New Roman" w:eastAsia="Calibri" w:hAnsi="Times New Roman" w:cs="Times New Roman"/>
          <w:sz w:val="28"/>
          <w:szCs w:val="28"/>
        </w:rPr>
      </w:pPr>
    </w:p>
    <w:p w:rsidR="00466FF6" w:rsidRDefault="00D81FF3" w:rsidP="00D81FF3">
      <w:pPr>
        <w:autoSpaceDN w:val="0"/>
        <w:spacing w:after="0" w:line="100" w:lineRule="atLeast"/>
        <w:ind w:firstLine="567"/>
        <w:jc w:val="both"/>
        <w:rPr>
          <w:rFonts w:ascii="Times New Roman" w:eastAsia="Calibri" w:hAnsi="Times New Roman" w:cs="Times New Roman"/>
          <w:sz w:val="28"/>
          <w:szCs w:val="28"/>
        </w:rPr>
      </w:pPr>
      <w:r w:rsidRPr="00D81FF3">
        <w:rPr>
          <w:rFonts w:ascii="Times New Roman" w:eastAsia="Calibri" w:hAnsi="Times New Roman" w:cs="Times New Roman"/>
          <w:sz w:val="28"/>
          <w:szCs w:val="28"/>
        </w:rPr>
        <w:t>Друга Дисциплінарна палата Вищої ради п</w:t>
      </w:r>
      <w:r w:rsidR="0095189B">
        <w:rPr>
          <w:rFonts w:ascii="Times New Roman" w:eastAsia="Calibri" w:hAnsi="Times New Roman" w:cs="Times New Roman"/>
          <w:sz w:val="28"/>
          <w:szCs w:val="28"/>
        </w:rPr>
        <w:t xml:space="preserve">равосуддя у складі  головуючого </w:t>
      </w:r>
      <w:r w:rsidRPr="00D81FF3">
        <w:rPr>
          <w:rFonts w:ascii="Times New Roman" w:eastAsia="Calibri" w:hAnsi="Times New Roman" w:cs="Times New Roman"/>
          <w:sz w:val="28"/>
          <w:szCs w:val="28"/>
        </w:rPr>
        <w:t xml:space="preserve">– Маселка Р.А., </w:t>
      </w:r>
      <w:r w:rsidR="006575F5" w:rsidRPr="006575F5">
        <w:rPr>
          <w:rFonts w:ascii="Times New Roman" w:eastAsia="Calibri" w:hAnsi="Times New Roman" w:cs="Times New Roman"/>
          <w:sz w:val="28"/>
          <w:szCs w:val="28"/>
        </w:rPr>
        <w:t xml:space="preserve">членів Другої Дисциплінарної палати Вищої ради правосуддя Ковбій О.В., Саліхова В.В., </w:t>
      </w:r>
      <w:r w:rsidRPr="00D81FF3">
        <w:rPr>
          <w:rFonts w:ascii="Times New Roman" w:eastAsia="Calibri" w:hAnsi="Times New Roman" w:cs="Times New Roman"/>
          <w:sz w:val="28"/>
          <w:szCs w:val="28"/>
        </w:rPr>
        <w:t xml:space="preserve">розглянувши висновок доповідача – члена Другої Дисциплінарної палати Вищої ради правосуддя Мельника О.П. за результатами попередньої перевірки </w:t>
      </w:r>
      <w:r w:rsidR="00391A7E">
        <w:rPr>
          <w:rFonts w:ascii="Times New Roman" w:eastAsia="Calibri" w:hAnsi="Times New Roman" w:cs="Times New Roman"/>
          <w:sz w:val="28"/>
          <w:szCs w:val="28"/>
        </w:rPr>
        <w:t xml:space="preserve">дисциплінарної скарги </w:t>
      </w:r>
      <w:r w:rsidR="00466FF6">
        <w:rPr>
          <w:rFonts w:ascii="Times New Roman" w:eastAsia="Calibri" w:hAnsi="Times New Roman" w:cs="Times New Roman"/>
          <w:sz w:val="28"/>
          <w:szCs w:val="28"/>
        </w:rPr>
        <w:t xml:space="preserve">представника Департаменту </w:t>
      </w:r>
      <w:r w:rsidR="00B17279">
        <w:rPr>
          <w:rFonts w:ascii="Times New Roman" w:eastAsia="Calibri" w:hAnsi="Times New Roman" w:cs="Times New Roman"/>
          <w:sz w:val="28"/>
          <w:szCs w:val="28"/>
        </w:rPr>
        <w:t>патрульної поліції</w:t>
      </w:r>
      <w:r w:rsidR="00466FF6">
        <w:rPr>
          <w:rFonts w:ascii="Times New Roman" w:eastAsia="Calibri" w:hAnsi="Times New Roman" w:cs="Times New Roman"/>
          <w:sz w:val="28"/>
          <w:szCs w:val="28"/>
        </w:rPr>
        <w:t xml:space="preserve"> Кисіля Андрія Вікторовича стосовно судді Рівненського міського суду Рівненської області Рогозіна Святослава Вікторовича,  </w:t>
      </w:r>
    </w:p>
    <w:p w:rsidR="00466FF6" w:rsidRDefault="00466FF6" w:rsidP="00D81FF3">
      <w:pPr>
        <w:autoSpaceDN w:val="0"/>
        <w:spacing w:after="0" w:line="100" w:lineRule="atLeast"/>
        <w:ind w:firstLine="567"/>
        <w:jc w:val="both"/>
        <w:rPr>
          <w:rFonts w:ascii="Times New Roman" w:eastAsia="Calibri" w:hAnsi="Times New Roman" w:cs="Times New Roman"/>
          <w:sz w:val="28"/>
          <w:szCs w:val="28"/>
        </w:rPr>
      </w:pPr>
    </w:p>
    <w:p w:rsidR="00D81FF3" w:rsidRPr="00D81FF3" w:rsidRDefault="00D81FF3" w:rsidP="00D81FF3">
      <w:pPr>
        <w:widowControl w:val="0"/>
        <w:autoSpaceDN w:val="0"/>
        <w:spacing w:after="0" w:line="240" w:lineRule="auto"/>
        <w:ind w:firstLine="709"/>
        <w:jc w:val="center"/>
        <w:rPr>
          <w:rFonts w:ascii="Times New Roman" w:eastAsia="Calibri" w:hAnsi="Times New Roman" w:cs="Times New Roman"/>
          <w:b/>
          <w:bCs/>
          <w:sz w:val="28"/>
          <w:szCs w:val="28"/>
        </w:rPr>
      </w:pPr>
      <w:r w:rsidRPr="00D81FF3">
        <w:rPr>
          <w:rFonts w:ascii="Times New Roman" w:eastAsia="Calibri" w:hAnsi="Times New Roman" w:cs="Times New Roman"/>
          <w:b/>
          <w:bCs/>
          <w:sz w:val="28"/>
          <w:szCs w:val="28"/>
        </w:rPr>
        <w:t>встановила:</w:t>
      </w:r>
    </w:p>
    <w:p w:rsidR="00FD594D" w:rsidRPr="00D81FF3" w:rsidRDefault="00FD594D" w:rsidP="00D81FF3">
      <w:pPr>
        <w:widowControl w:val="0"/>
        <w:shd w:val="clear" w:color="auto" w:fill="FFFFFF"/>
        <w:autoSpaceDN w:val="0"/>
        <w:spacing w:after="0" w:line="240" w:lineRule="auto"/>
        <w:jc w:val="both"/>
        <w:rPr>
          <w:rFonts w:ascii="Times New Roman" w:eastAsia="Calibri" w:hAnsi="Times New Roman" w:cs="Times New Roman"/>
          <w:bCs/>
          <w:sz w:val="28"/>
          <w:szCs w:val="28"/>
        </w:rPr>
      </w:pPr>
    </w:p>
    <w:p w:rsidR="00466FF6" w:rsidRDefault="00466FF6" w:rsidP="006575F5">
      <w:pPr>
        <w:pStyle w:val="20"/>
        <w:shd w:val="clear" w:color="auto" w:fill="auto"/>
        <w:spacing w:after="0" w:line="240" w:lineRule="auto"/>
        <w:contextualSpacing/>
        <w:jc w:val="both"/>
        <w:rPr>
          <w:rFonts w:ascii="Times New Roman" w:hAnsi="Times New Roman"/>
          <w:b w:val="0"/>
          <w:sz w:val="28"/>
          <w:szCs w:val="28"/>
        </w:rPr>
      </w:pPr>
      <w:r>
        <w:rPr>
          <w:rFonts w:ascii="Times New Roman" w:hAnsi="Times New Roman"/>
          <w:b w:val="0"/>
          <w:sz w:val="28"/>
          <w:szCs w:val="28"/>
        </w:rPr>
        <w:t>д</w:t>
      </w:r>
      <w:r w:rsidRPr="00466FF6">
        <w:rPr>
          <w:rFonts w:ascii="Times New Roman" w:hAnsi="Times New Roman"/>
          <w:b w:val="0"/>
          <w:sz w:val="28"/>
          <w:szCs w:val="28"/>
        </w:rPr>
        <w:t xml:space="preserve">о Вищої ради правосуддя 8 вересня 2021 року за вхідним № 648/0/13-21 надійшла дисциплінарна скарга представника Департаменту патрульної поліції Кисіля А.В. </w:t>
      </w:r>
      <w:r>
        <w:rPr>
          <w:rFonts w:ascii="Times New Roman" w:hAnsi="Times New Roman"/>
          <w:b w:val="0"/>
          <w:sz w:val="28"/>
          <w:szCs w:val="28"/>
        </w:rPr>
        <w:t>стосовно</w:t>
      </w:r>
      <w:r w:rsidRPr="00466FF6">
        <w:rPr>
          <w:rFonts w:ascii="Times New Roman" w:hAnsi="Times New Roman"/>
          <w:b w:val="0"/>
          <w:sz w:val="28"/>
          <w:szCs w:val="28"/>
        </w:rPr>
        <w:t xml:space="preserve"> судді Рівненського міського суду </w:t>
      </w:r>
      <w:r>
        <w:rPr>
          <w:rFonts w:ascii="Times New Roman" w:hAnsi="Times New Roman"/>
          <w:b w:val="0"/>
          <w:sz w:val="28"/>
          <w:szCs w:val="28"/>
        </w:rPr>
        <w:t xml:space="preserve">Рівненської області </w:t>
      </w:r>
      <w:r w:rsidRPr="00466FF6">
        <w:rPr>
          <w:rFonts w:ascii="Times New Roman" w:hAnsi="Times New Roman"/>
          <w:b w:val="0"/>
          <w:sz w:val="28"/>
          <w:szCs w:val="28"/>
        </w:rPr>
        <w:t>Рогозіна С.В. під час розгляду справ №№ 569/8165/21, 569/6001/21, 569/20991/20 (у скарзі помилково зазначено номер справи «569/20991/21»), 569/19155/20, 569/7566/20, 569/1919/21, 569/548/21, 569/6528/21, 569/1967/21, 569/4392/21, 569/3029/21, 569/763/21, 569/19982/20, 569/141/21, 569/17293/20, 569/18178/20, 569/18174/20, 569/17926/20, 569/14101/20, 569/14098/20, 569/6908/20, 569/6880/20.</w:t>
      </w:r>
    </w:p>
    <w:p w:rsidR="00466FF6" w:rsidRDefault="00466FF6" w:rsidP="00466FF6">
      <w:pPr>
        <w:pStyle w:val="20"/>
        <w:shd w:val="clear" w:color="auto" w:fill="auto"/>
        <w:tabs>
          <w:tab w:val="left" w:pos="567"/>
        </w:tabs>
        <w:spacing w:after="0" w:line="240" w:lineRule="auto"/>
        <w:contextualSpacing/>
        <w:jc w:val="both"/>
        <w:rPr>
          <w:rFonts w:ascii="Times New Roman" w:hAnsi="Times New Roman"/>
          <w:b w:val="0"/>
          <w:sz w:val="28"/>
          <w:szCs w:val="28"/>
        </w:rPr>
      </w:pPr>
      <w:r>
        <w:rPr>
          <w:rFonts w:ascii="Times New Roman" w:hAnsi="Times New Roman"/>
          <w:b w:val="0"/>
          <w:sz w:val="28"/>
          <w:szCs w:val="28"/>
        </w:rPr>
        <w:tab/>
      </w:r>
      <w:r w:rsidRPr="00466FF6">
        <w:rPr>
          <w:rFonts w:ascii="Times New Roman" w:hAnsi="Times New Roman"/>
          <w:b w:val="0"/>
          <w:sz w:val="28"/>
          <w:szCs w:val="28"/>
        </w:rPr>
        <w:t xml:space="preserve">Скаржник вважає, що дії судді Рівненського міського суду Рівненської області Рогозіна С.В. містять ознаки дисциплінарних проступків, передбачених підпунктом «б» пункту 1, пункту 3 частини першої статті 106 Закону України «Про судоустрій і статус суддів» (умисне або внаслідок недбалості незазначення в судовому рішенні мотивів прийняття або відхилення аргументів сторін щодо суті спору;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w:t>
      </w:r>
      <w:r w:rsidRPr="00466FF6">
        <w:rPr>
          <w:rFonts w:ascii="Times New Roman" w:hAnsi="Times New Roman"/>
          <w:b w:val="0"/>
          <w:sz w:val="28"/>
          <w:szCs w:val="28"/>
        </w:rPr>
        <w:lastRenderedPageBreak/>
        <w:t xml:space="preserve">його статусу, дотримання інших норм суддівської етики та стандартів поведінки, які забезпечують суспільну довіру до суду).  </w:t>
      </w:r>
    </w:p>
    <w:p w:rsidR="00466FF6" w:rsidRDefault="00466FF6" w:rsidP="00466FF6">
      <w:pPr>
        <w:pStyle w:val="20"/>
        <w:shd w:val="clear" w:color="auto" w:fill="auto"/>
        <w:tabs>
          <w:tab w:val="left" w:pos="567"/>
        </w:tabs>
        <w:spacing w:after="0" w:line="240" w:lineRule="auto"/>
        <w:jc w:val="both"/>
        <w:rPr>
          <w:rFonts w:ascii="Times New Roman" w:hAnsi="Times New Roman"/>
          <w:b w:val="0"/>
          <w:sz w:val="28"/>
          <w:szCs w:val="28"/>
        </w:rPr>
      </w:pPr>
      <w:r>
        <w:rPr>
          <w:rFonts w:ascii="Times New Roman" w:hAnsi="Times New Roman"/>
          <w:b w:val="0"/>
          <w:sz w:val="28"/>
          <w:szCs w:val="28"/>
        </w:rPr>
        <w:tab/>
      </w:r>
      <w:r w:rsidRPr="00466FF6">
        <w:rPr>
          <w:rFonts w:ascii="Times New Roman" w:hAnsi="Times New Roman"/>
          <w:b w:val="0"/>
          <w:sz w:val="28"/>
          <w:szCs w:val="28"/>
        </w:rPr>
        <w:t>Скаржник посилається на те, що:</w:t>
      </w:r>
    </w:p>
    <w:p w:rsidR="00466FF6" w:rsidRPr="00466FF6" w:rsidRDefault="00466FF6" w:rsidP="00466FF6">
      <w:pPr>
        <w:pStyle w:val="20"/>
        <w:tabs>
          <w:tab w:val="left" w:pos="567"/>
        </w:tabs>
        <w:spacing w:after="0" w:line="240" w:lineRule="auto"/>
        <w:jc w:val="both"/>
        <w:rPr>
          <w:rFonts w:ascii="Times New Roman" w:hAnsi="Times New Roman"/>
          <w:b w:val="0"/>
          <w:sz w:val="28"/>
          <w:szCs w:val="28"/>
        </w:rPr>
      </w:pPr>
      <w:r>
        <w:rPr>
          <w:rFonts w:ascii="Times New Roman" w:hAnsi="Times New Roman"/>
          <w:b w:val="0"/>
          <w:sz w:val="28"/>
          <w:szCs w:val="28"/>
        </w:rPr>
        <w:tab/>
      </w:r>
      <w:r w:rsidRPr="00466FF6">
        <w:rPr>
          <w:rFonts w:ascii="Times New Roman" w:hAnsi="Times New Roman"/>
          <w:b w:val="0"/>
          <w:sz w:val="28"/>
          <w:szCs w:val="28"/>
        </w:rPr>
        <w:t>постановою судді Рівненського міського суду Рівненської області              Рогозіна С.В. від 8 липня 2021 року у справі № 569/8165/21 звільнено особу  від адміністративної відповідальності за вчинення адміністративного правопорушення, передбаченого частиною першою статті 130 Кодексу України про адміністративні правопорушення (далі – КУпАП)  із передачею його адміністративних матеріалів на розгляд трудовому колективу Громадської організації «Об’єднання інвалідів Рівненщини» для застосування заходів громадського впливу;</w:t>
      </w:r>
    </w:p>
    <w:p w:rsidR="00466FF6" w:rsidRDefault="00466FF6" w:rsidP="00466FF6">
      <w:pPr>
        <w:pStyle w:val="20"/>
        <w:shd w:val="clear" w:color="auto" w:fill="auto"/>
        <w:tabs>
          <w:tab w:val="left" w:pos="567"/>
        </w:tabs>
        <w:spacing w:after="0" w:line="240" w:lineRule="auto"/>
        <w:jc w:val="both"/>
        <w:rPr>
          <w:rFonts w:ascii="Times New Roman" w:hAnsi="Times New Roman"/>
          <w:b w:val="0"/>
          <w:sz w:val="28"/>
          <w:szCs w:val="28"/>
        </w:rPr>
      </w:pPr>
      <w:r>
        <w:rPr>
          <w:rFonts w:ascii="Times New Roman" w:hAnsi="Times New Roman"/>
          <w:b w:val="0"/>
          <w:sz w:val="28"/>
          <w:szCs w:val="28"/>
        </w:rPr>
        <w:tab/>
      </w:r>
      <w:r w:rsidRPr="00466FF6">
        <w:rPr>
          <w:rFonts w:ascii="Times New Roman" w:hAnsi="Times New Roman"/>
          <w:b w:val="0"/>
          <w:sz w:val="28"/>
          <w:szCs w:val="28"/>
        </w:rPr>
        <w:t>постановою судді Рівненського міського суду Рівненської області              Рогозіна С.В. від 21 квітня 2021 року у справі № 569/6001/21 звільнено особу від адміністративної відповідальності за вчинення адміністративного правопорушення, передбаченого частиною першою статті 130 КУпАП  із передачею його адміністративних матеріалів на розгляд трудовому колективу Товариства з обмеженою відповідальністю «Альфа Пак» для застосування заходів громадського впливу;</w:t>
      </w:r>
    </w:p>
    <w:p w:rsidR="00466FF6" w:rsidRPr="00466FF6" w:rsidRDefault="00466FF6" w:rsidP="00466FF6">
      <w:pPr>
        <w:pStyle w:val="20"/>
        <w:tabs>
          <w:tab w:val="left" w:pos="567"/>
        </w:tabs>
        <w:spacing w:after="0" w:line="240" w:lineRule="auto"/>
        <w:jc w:val="both"/>
        <w:rPr>
          <w:rFonts w:ascii="Times New Roman" w:hAnsi="Times New Roman"/>
          <w:b w:val="0"/>
          <w:sz w:val="28"/>
          <w:szCs w:val="28"/>
        </w:rPr>
      </w:pPr>
      <w:r>
        <w:rPr>
          <w:rFonts w:ascii="Times New Roman" w:hAnsi="Times New Roman"/>
          <w:b w:val="0"/>
          <w:sz w:val="28"/>
          <w:szCs w:val="28"/>
        </w:rPr>
        <w:tab/>
      </w:r>
      <w:r w:rsidRPr="00466FF6">
        <w:rPr>
          <w:rFonts w:ascii="Times New Roman" w:hAnsi="Times New Roman"/>
          <w:b w:val="0"/>
          <w:sz w:val="28"/>
          <w:szCs w:val="28"/>
        </w:rPr>
        <w:t>постановою судді Рівненського міського суду Рівненської області              Рогозіна С.В. від 1 березня 2021 року у справі № 569/20991/20 звільнено особу від адміністративної відповідальності за вчинення адміністративних правопорушень, передбачених частиною першою статті 130 КУпАП із передачею його адміністративних матеріалів на розгляд трудовому колективу Громадської організації «Європейський правовий центр «ПРОРИВ» для застосування заходів громадського впливу;</w:t>
      </w:r>
    </w:p>
    <w:p w:rsidR="00466FF6" w:rsidRDefault="00466FF6" w:rsidP="00466FF6">
      <w:pPr>
        <w:pStyle w:val="20"/>
        <w:shd w:val="clear" w:color="auto" w:fill="auto"/>
        <w:spacing w:after="0" w:line="240" w:lineRule="auto"/>
        <w:ind w:firstLine="567"/>
        <w:jc w:val="both"/>
        <w:rPr>
          <w:rFonts w:ascii="Times New Roman" w:hAnsi="Times New Roman"/>
          <w:b w:val="0"/>
          <w:sz w:val="28"/>
          <w:szCs w:val="28"/>
        </w:rPr>
      </w:pPr>
      <w:r w:rsidRPr="00466FF6">
        <w:rPr>
          <w:rFonts w:ascii="Times New Roman" w:hAnsi="Times New Roman"/>
          <w:b w:val="0"/>
          <w:sz w:val="28"/>
          <w:szCs w:val="28"/>
        </w:rPr>
        <w:t>постановою судді Рівненського міського суду Рівненської області              Рогозіна С.В. від 11 грудня 2020 року у справі № 569/19155/20 звільнено особу від адміністративної відповідальності за вчинення адміністративного правопорушення, передбаченого частиною першою статті 130 КУпАП  із передачею його адміністративних матеріалів на розгляд трудовому колективу Товариства з обмеженою відповідальністю «Вів Вест» для застосування заходів громадського впливу.</w:t>
      </w:r>
    </w:p>
    <w:p w:rsidR="00466FF6" w:rsidRDefault="00466FF6" w:rsidP="00466FF6">
      <w:pPr>
        <w:pStyle w:val="20"/>
        <w:shd w:val="clear" w:color="auto" w:fill="auto"/>
        <w:spacing w:after="0" w:line="240" w:lineRule="auto"/>
        <w:ind w:firstLine="567"/>
        <w:jc w:val="both"/>
        <w:rPr>
          <w:rFonts w:ascii="Times New Roman" w:hAnsi="Times New Roman"/>
          <w:b w:val="0"/>
          <w:sz w:val="28"/>
          <w:szCs w:val="28"/>
        </w:rPr>
      </w:pPr>
      <w:r w:rsidRPr="00466FF6">
        <w:rPr>
          <w:rFonts w:ascii="Times New Roman" w:hAnsi="Times New Roman"/>
          <w:b w:val="0"/>
          <w:sz w:val="28"/>
          <w:szCs w:val="28"/>
        </w:rPr>
        <w:t xml:space="preserve">У вказаних постановах, як зазначає автор скарги, суддя мотивував свою позицію частиною першою статті 21 КУпАП, яка передбачає можливість звільнення особи від адміністративної відповідальності з передачею на поруки трудовому колективу. Проте при передачі матеріалів про адміністративне правопорушення на розгляд трудового колективу ураховується характер вчиненого правопорушення і особа правопорушника. Характер правопорушення, передбаченого частиною першою статті 130 КУпАП, зокрема його підвищена суспільна небезпечність, унеможливлює, на думку автора скарги, застосування до особи, яка його вчинила, звільнення </w:t>
      </w:r>
      <w:r>
        <w:rPr>
          <w:rFonts w:ascii="Times New Roman" w:hAnsi="Times New Roman"/>
          <w:b w:val="0"/>
          <w:sz w:val="28"/>
          <w:szCs w:val="28"/>
        </w:rPr>
        <w:t xml:space="preserve">                             </w:t>
      </w:r>
      <w:r w:rsidRPr="00466FF6">
        <w:rPr>
          <w:rFonts w:ascii="Times New Roman" w:hAnsi="Times New Roman"/>
          <w:b w:val="0"/>
          <w:sz w:val="28"/>
          <w:szCs w:val="28"/>
        </w:rPr>
        <w:t xml:space="preserve">від адміністративної відповідальності із застосуванням заходів громадського впливу.   </w:t>
      </w:r>
    </w:p>
    <w:p w:rsidR="00466FF6" w:rsidRPr="00466FF6" w:rsidRDefault="00466FF6" w:rsidP="00466FF6">
      <w:pPr>
        <w:pStyle w:val="20"/>
        <w:tabs>
          <w:tab w:val="left" w:pos="567"/>
        </w:tabs>
        <w:spacing w:after="0" w:line="240" w:lineRule="auto"/>
        <w:jc w:val="both"/>
        <w:rPr>
          <w:rFonts w:ascii="Times New Roman" w:hAnsi="Times New Roman"/>
          <w:b w:val="0"/>
          <w:sz w:val="28"/>
          <w:szCs w:val="28"/>
        </w:rPr>
      </w:pPr>
      <w:r>
        <w:rPr>
          <w:rFonts w:ascii="Times New Roman" w:hAnsi="Times New Roman"/>
          <w:b w:val="0"/>
          <w:sz w:val="28"/>
          <w:szCs w:val="28"/>
        </w:rPr>
        <w:tab/>
      </w:r>
      <w:r w:rsidRPr="00466FF6">
        <w:rPr>
          <w:rFonts w:ascii="Times New Roman" w:hAnsi="Times New Roman"/>
          <w:b w:val="0"/>
          <w:sz w:val="28"/>
          <w:szCs w:val="28"/>
        </w:rPr>
        <w:t xml:space="preserve">Окремо скаржник звернув увагу, що постановою судді Рогозіна С.В. </w:t>
      </w:r>
      <w:r>
        <w:rPr>
          <w:rFonts w:ascii="Times New Roman" w:hAnsi="Times New Roman"/>
          <w:b w:val="0"/>
          <w:sz w:val="28"/>
          <w:szCs w:val="28"/>
        </w:rPr>
        <w:t xml:space="preserve">                 від </w:t>
      </w:r>
      <w:r w:rsidRPr="00466FF6">
        <w:rPr>
          <w:rFonts w:ascii="Times New Roman" w:hAnsi="Times New Roman"/>
          <w:b w:val="0"/>
          <w:sz w:val="28"/>
          <w:szCs w:val="28"/>
        </w:rPr>
        <w:t xml:space="preserve">17 липня 2020 року (у скарзі помилково зазначено дату постанови </w:t>
      </w:r>
      <w:r>
        <w:rPr>
          <w:rFonts w:ascii="Times New Roman" w:hAnsi="Times New Roman"/>
          <w:b w:val="0"/>
          <w:sz w:val="28"/>
          <w:szCs w:val="28"/>
        </w:rPr>
        <w:t xml:space="preserve">                        </w:t>
      </w:r>
      <w:r w:rsidRPr="00466FF6">
        <w:rPr>
          <w:rFonts w:ascii="Times New Roman" w:hAnsi="Times New Roman"/>
          <w:b w:val="0"/>
          <w:sz w:val="28"/>
          <w:szCs w:val="28"/>
        </w:rPr>
        <w:lastRenderedPageBreak/>
        <w:t xml:space="preserve">«11 грудня 2020 року») у справі № 569/7566/20 звільнено особу від адміністративної відповідальності за частиною першою статті 130 КУпАП, обмежившись усним зауваженням.   </w:t>
      </w:r>
    </w:p>
    <w:p w:rsidR="00466FF6" w:rsidRDefault="00466FF6" w:rsidP="00466FF6">
      <w:pPr>
        <w:pStyle w:val="20"/>
        <w:shd w:val="clear" w:color="auto" w:fill="auto"/>
        <w:spacing w:after="0" w:line="240" w:lineRule="auto"/>
        <w:ind w:firstLine="567"/>
        <w:jc w:val="both"/>
        <w:rPr>
          <w:rFonts w:ascii="Times New Roman" w:hAnsi="Times New Roman"/>
          <w:b w:val="0"/>
          <w:sz w:val="28"/>
          <w:szCs w:val="28"/>
        </w:rPr>
      </w:pPr>
      <w:r w:rsidRPr="00466FF6">
        <w:rPr>
          <w:rFonts w:ascii="Times New Roman" w:hAnsi="Times New Roman"/>
          <w:b w:val="0"/>
          <w:sz w:val="28"/>
          <w:szCs w:val="28"/>
        </w:rPr>
        <w:t>При цьому скаржник наголошує, що у вказаних вище справах про адміністративні правопорушення, особи визнали свою вину у вчиненні адміністративного правопорушення.</w:t>
      </w:r>
    </w:p>
    <w:p w:rsidR="00466FF6" w:rsidRPr="00466FF6" w:rsidRDefault="00466FF6" w:rsidP="00466FF6">
      <w:pPr>
        <w:pStyle w:val="20"/>
        <w:shd w:val="clear" w:color="auto" w:fill="auto"/>
        <w:spacing w:after="0" w:line="240" w:lineRule="auto"/>
        <w:ind w:firstLine="567"/>
        <w:jc w:val="both"/>
        <w:rPr>
          <w:rFonts w:ascii="Times New Roman" w:hAnsi="Times New Roman"/>
          <w:b w:val="0"/>
          <w:sz w:val="28"/>
          <w:szCs w:val="28"/>
        </w:rPr>
      </w:pPr>
      <w:r w:rsidRPr="00466FF6">
        <w:rPr>
          <w:rFonts w:ascii="Times New Roman" w:hAnsi="Times New Roman"/>
          <w:b w:val="0"/>
          <w:sz w:val="28"/>
          <w:szCs w:val="28"/>
        </w:rPr>
        <w:t xml:space="preserve">Також скаржник зазначає, що згідно з протоколом про адміністративне правопорушення серії ДПР18 № 279269 від 21 січня 2021 року, 21 січня                        2021 року о 03 год. 45 хв., в місті Рівне, по вул. Київська, 78Г, водій                      </w:t>
      </w:r>
      <w:r w:rsidR="00CF32F8">
        <w:rPr>
          <w:rFonts w:ascii="Times New Roman" w:hAnsi="Times New Roman"/>
          <w:b w:val="0"/>
          <w:sz w:val="28"/>
          <w:szCs w:val="28"/>
          <w:lang w:val="ru-RU"/>
        </w:rPr>
        <w:t>ОСОБА1</w:t>
      </w:r>
      <w:r w:rsidRPr="00466FF6">
        <w:rPr>
          <w:rFonts w:ascii="Times New Roman" w:hAnsi="Times New Roman"/>
          <w:b w:val="0"/>
          <w:sz w:val="28"/>
          <w:szCs w:val="28"/>
        </w:rPr>
        <w:t xml:space="preserve"> керував автомобілем «Au</w:t>
      </w:r>
      <w:r w:rsidR="00CF32F8">
        <w:rPr>
          <w:rFonts w:ascii="Times New Roman" w:hAnsi="Times New Roman"/>
          <w:b w:val="0"/>
          <w:sz w:val="28"/>
          <w:szCs w:val="28"/>
        </w:rPr>
        <w:t>di A6», номерний знак ____</w:t>
      </w:r>
      <w:r w:rsidRPr="00466FF6">
        <w:rPr>
          <w:rFonts w:ascii="Times New Roman" w:hAnsi="Times New Roman"/>
          <w:b w:val="0"/>
          <w:sz w:val="28"/>
          <w:szCs w:val="28"/>
        </w:rPr>
        <w:t xml:space="preserve">, у стані алкогольного сп’яніння. Огляд проводився на місці зупинки транспортного засобу за допомогою газоаналізатора «Alcotest № 6810» у присутності двох свідків, що підтверджується тестом № 2644 від 21 січня </w:t>
      </w:r>
      <w:bookmarkStart w:id="0" w:name="_GoBack"/>
      <w:bookmarkEnd w:id="0"/>
      <w:r w:rsidRPr="00466FF6">
        <w:rPr>
          <w:rFonts w:ascii="Times New Roman" w:hAnsi="Times New Roman"/>
          <w:b w:val="0"/>
          <w:sz w:val="28"/>
          <w:szCs w:val="28"/>
        </w:rPr>
        <w:t>2021 року, результат огляду становить 1,88 %.</w:t>
      </w:r>
    </w:p>
    <w:p w:rsidR="00466FF6" w:rsidRDefault="00466FF6" w:rsidP="00466FF6">
      <w:pPr>
        <w:pStyle w:val="20"/>
        <w:shd w:val="clear" w:color="auto" w:fill="auto"/>
        <w:spacing w:after="0" w:line="240" w:lineRule="auto"/>
        <w:ind w:firstLine="567"/>
        <w:jc w:val="both"/>
        <w:rPr>
          <w:rFonts w:ascii="Times New Roman" w:hAnsi="Times New Roman"/>
          <w:b w:val="0"/>
          <w:sz w:val="28"/>
          <w:szCs w:val="28"/>
        </w:rPr>
      </w:pPr>
      <w:r w:rsidRPr="00466FF6">
        <w:rPr>
          <w:rFonts w:ascii="Times New Roman" w:hAnsi="Times New Roman"/>
          <w:b w:val="0"/>
          <w:sz w:val="28"/>
          <w:szCs w:val="28"/>
        </w:rPr>
        <w:t xml:space="preserve">Однак постановою судді Рогозіна С.В. від 16 квітня 2021 року у справі                   № 569/1919/21 провадження у справі про притягнення </w:t>
      </w:r>
      <w:r w:rsidR="00CF32F8">
        <w:rPr>
          <w:rFonts w:ascii="Times New Roman" w:hAnsi="Times New Roman"/>
          <w:b w:val="0"/>
          <w:sz w:val="28"/>
          <w:szCs w:val="28"/>
        </w:rPr>
        <w:t>ОСОБА1</w:t>
      </w:r>
      <w:r w:rsidRPr="00466FF6">
        <w:rPr>
          <w:rFonts w:ascii="Times New Roman" w:hAnsi="Times New Roman"/>
          <w:b w:val="0"/>
          <w:sz w:val="28"/>
          <w:szCs w:val="28"/>
        </w:rPr>
        <w:t xml:space="preserve"> до адміністративної відповідальності за частиною першою статті 130 КУпАП закрито на підставі пункту 1 частини першої статті 247 КУпАП за відсутністю події і складу адміністративного правопорушення.</w:t>
      </w:r>
    </w:p>
    <w:p w:rsidR="00466FF6" w:rsidRPr="00466FF6" w:rsidRDefault="00466FF6" w:rsidP="00466FF6">
      <w:pPr>
        <w:pStyle w:val="20"/>
        <w:spacing w:after="0" w:line="240" w:lineRule="auto"/>
        <w:ind w:firstLine="567"/>
        <w:jc w:val="both"/>
        <w:rPr>
          <w:rFonts w:ascii="Times New Roman" w:hAnsi="Times New Roman"/>
          <w:b w:val="0"/>
          <w:sz w:val="28"/>
          <w:szCs w:val="28"/>
        </w:rPr>
      </w:pPr>
      <w:r w:rsidRPr="00466FF6">
        <w:rPr>
          <w:rFonts w:ascii="Times New Roman" w:hAnsi="Times New Roman"/>
          <w:b w:val="0"/>
          <w:sz w:val="28"/>
          <w:szCs w:val="28"/>
        </w:rPr>
        <w:t xml:space="preserve">Крім того вказує, що згідно з протоколом про адміністративне правопорушення серії ДПР18 № 330905 від 26 грудня 2020 року, 26 грудня              2020 року о 23 год. 15 хв., в місті Рівне на Привокзальному майдані, 1, водій </w:t>
      </w:r>
      <w:r w:rsidR="00CF32F8">
        <w:rPr>
          <w:rFonts w:ascii="Times New Roman" w:hAnsi="Times New Roman"/>
          <w:b w:val="0"/>
          <w:sz w:val="28"/>
          <w:szCs w:val="28"/>
        </w:rPr>
        <w:t>ОСОБА2</w:t>
      </w:r>
      <w:r w:rsidRPr="00466FF6">
        <w:rPr>
          <w:rFonts w:ascii="Times New Roman" w:hAnsi="Times New Roman"/>
          <w:b w:val="0"/>
          <w:sz w:val="28"/>
          <w:szCs w:val="28"/>
        </w:rPr>
        <w:t xml:space="preserve"> керував автомобілем «Volkswagen Golf», номерний знак                   </w:t>
      </w:r>
      <w:r w:rsidR="00CF32F8">
        <w:rPr>
          <w:rFonts w:ascii="Times New Roman" w:hAnsi="Times New Roman"/>
          <w:b w:val="0"/>
          <w:sz w:val="28"/>
          <w:szCs w:val="28"/>
        </w:rPr>
        <w:t xml:space="preserve">                     ____</w:t>
      </w:r>
      <w:r w:rsidRPr="00466FF6">
        <w:rPr>
          <w:rFonts w:ascii="Times New Roman" w:hAnsi="Times New Roman"/>
          <w:b w:val="0"/>
          <w:sz w:val="28"/>
          <w:szCs w:val="28"/>
        </w:rPr>
        <w:t xml:space="preserve">, в стані алкогольного сп’яніння. Огляд проводився на місці зупинки транспортного засобу за допомогою газоаналізатора «Alkotest </w:t>
      </w:r>
      <w:r>
        <w:rPr>
          <w:rFonts w:ascii="Times New Roman" w:hAnsi="Times New Roman"/>
          <w:b w:val="0"/>
          <w:sz w:val="28"/>
          <w:szCs w:val="28"/>
        </w:rPr>
        <w:t xml:space="preserve">                       </w:t>
      </w:r>
      <w:r w:rsidRPr="00466FF6">
        <w:rPr>
          <w:rFonts w:ascii="Times New Roman" w:hAnsi="Times New Roman"/>
          <w:b w:val="0"/>
          <w:sz w:val="28"/>
          <w:szCs w:val="28"/>
        </w:rPr>
        <w:t xml:space="preserve">№ 6810» у присутності двох свідків, що підтверджується тестом № 2601 </w:t>
      </w:r>
      <w:r>
        <w:rPr>
          <w:rFonts w:ascii="Times New Roman" w:hAnsi="Times New Roman"/>
          <w:b w:val="0"/>
          <w:sz w:val="28"/>
          <w:szCs w:val="28"/>
        </w:rPr>
        <w:t xml:space="preserve">                      від 27 грудня </w:t>
      </w:r>
      <w:r w:rsidRPr="00466FF6">
        <w:rPr>
          <w:rFonts w:ascii="Times New Roman" w:hAnsi="Times New Roman"/>
          <w:b w:val="0"/>
          <w:sz w:val="28"/>
          <w:szCs w:val="28"/>
        </w:rPr>
        <w:t>2020 року, результат огляду 1,27 %.</w:t>
      </w:r>
    </w:p>
    <w:p w:rsidR="00466FF6" w:rsidRDefault="00466FF6" w:rsidP="00466FF6">
      <w:pPr>
        <w:pStyle w:val="20"/>
        <w:shd w:val="clear" w:color="auto" w:fill="auto"/>
        <w:spacing w:after="0" w:line="240" w:lineRule="auto"/>
        <w:ind w:firstLine="567"/>
        <w:jc w:val="both"/>
        <w:rPr>
          <w:rFonts w:ascii="Times New Roman" w:hAnsi="Times New Roman"/>
          <w:b w:val="0"/>
          <w:sz w:val="28"/>
          <w:szCs w:val="28"/>
        </w:rPr>
      </w:pPr>
      <w:r w:rsidRPr="00466FF6">
        <w:rPr>
          <w:rFonts w:ascii="Times New Roman" w:hAnsi="Times New Roman"/>
          <w:b w:val="0"/>
          <w:sz w:val="28"/>
          <w:szCs w:val="28"/>
        </w:rPr>
        <w:t xml:space="preserve">У цій справі про адміністративне правопорушення (№ 569/548/21) суддя Рівненського міського суду Рівненської області Рогозін С.В. постановою                       від 2 лютого 2021 року також закриває провадження у справі про притягнення </w:t>
      </w:r>
      <w:r w:rsidR="00CF32F8">
        <w:rPr>
          <w:rFonts w:ascii="Times New Roman" w:hAnsi="Times New Roman"/>
          <w:b w:val="0"/>
          <w:sz w:val="28"/>
          <w:szCs w:val="28"/>
        </w:rPr>
        <w:t>ОСОБА2</w:t>
      </w:r>
      <w:r w:rsidRPr="00466FF6">
        <w:rPr>
          <w:rFonts w:ascii="Times New Roman" w:hAnsi="Times New Roman"/>
          <w:b w:val="0"/>
          <w:sz w:val="28"/>
          <w:szCs w:val="28"/>
        </w:rPr>
        <w:t xml:space="preserve"> до адміністративної відповідальності за частиною першою статті 130 КУпАП на підставі пункту 1 статті 247 КУпАП у зв’язку з відсутністю події і складу адміністративного правопорушення.</w:t>
      </w:r>
    </w:p>
    <w:p w:rsidR="00466FF6" w:rsidRPr="00466FF6" w:rsidRDefault="00466FF6" w:rsidP="00466FF6">
      <w:pPr>
        <w:pStyle w:val="20"/>
        <w:shd w:val="clear" w:color="auto" w:fill="auto"/>
        <w:spacing w:after="0" w:line="240" w:lineRule="auto"/>
        <w:ind w:firstLine="567"/>
        <w:jc w:val="both"/>
        <w:rPr>
          <w:rFonts w:ascii="Times New Roman" w:hAnsi="Times New Roman"/>
          <w:b w:val="0"/>
          <w:sz w:val="28"/>
          <w:szCs w:val="28"/>
        </w:rPr>
      </w:pPr>
      <w:r w:rsidRPr="00466FF6">
        <w:rPr>
          <w:rFonts w:ascii="Times New Roman" w:hAnsi="Times New Roman"/>
          <w:b w:val="0"/>
          <w:sz w:val="28"/>
          <w:szCs w:val="28"/>
        </w:rPr>
        <w:t>На переконання скаржника, дії судді Рогозіна С.В. пов’язані із винесення вказаних вище постанов про закриття провадження у справах про притягнення осіб до адміністративної відповідальності за частиною першою статті 130 КУпАП на підставі пункту 1 статті 247 КУпАП, призвели до того, що правопорушники уникнули реального покарання за керування транспортним засобом у стані сп’яніння. Також, на думку скаржника, такі</w:t>
      </w:r>
      <w:r w:rsidR="00B17279">
        <w:rPr>
          <w:rFonts w:ascii="Times New Roman" w:hAnsi="Times New Roman"/>
          <w:b w:val="0"/>
          <w:sz w:val="28"/>
          <w:szCs w:val="28"/>
        </w:rPr>
        <w:t xml:space="preserve"> дії судді </w:t>
      </w:r>
      <w:r w:rsidRPr="00466FF6">
        <w:rPr>
          <w:rFonts w:ascii="Times New Roman" w:hAnsi="Times New Roman"/>
          <w:b w:val="0"/>
          <w:sz w:val="28"/>
          <w:szCs w:val="28"/>
        </w:rPr>
        <w:t>Рогозіна С.В. «спонукають громадян продовжувати порушувати адміністративне законодавство і відчувати себе абсолютно безкарними».</w:t>
      </w:r>
    </w:p>
    <w:p w:rsidR="00466FF6" w:rsidRPr="00466FF6" w:rsidRDefault="00466FF6" w:rsidP="00466FF6">
      <w:pPr>
        <w:pStyle w:val="20"/>
        <w:spacing w:after="0" w:line="240" w:lineRule="auto"/>
        <w:ind w:firstLine="567"/>
        <w:jc w:val="both"/>
        <w:rPr>
          <w:rFonts w:ascii="Times New Roman" w:hAnsi="Times New Roman"/>
          <w:b w:val="0"/>
          <w:sz w:val="28"/>
          <w:szCs w:val="28"/>
        </w:rPr>
      </w:pPr>
      <w:r w:rsidRPr="00466FF6">
        <w:rPr>
          <w:rFonts w:ascii="Times New Roman" w:hAnsi="Times New Roman"/>
          <w:b w:val="0"/>
          <w:sz w:val="28"/>
          <w:szCs w:val="28"/>
        </w:rPr>
        <w:t>Також скаржник зазначив, що за результатами розгляду справ про адміністративні правопорушення (№№ 569/6528/21, 569/1967/21, 569/4392/21, 569/3029/21, 569/763/21, 569/19982/20, 569/141/21, 569/17293/20, 569/18178/20, 569/18174/20, 569/17926/20, 569/14101/20, 569/14098/20, 569/6908/20, 569/6880/20), суддя Рогозін С.В. не обґрунтував своїх рішень, а вказав стандартні фрази, які зовсім не пояснюють причину таких рішень. Всупереч стандартам Європейського суду з прав людини (далі – ЄСПЛ) суддя не вмотивував своїх рішень, що вказує на відсутність таких аргументів та підстав для звільнення порушників від покарання.</w:t>
      </w:r>
    </w:p>
    <w:p w:rsidR="00466FF6" w:rsidRDefault="00466FF6" w:rsidP="00466FF6">
      <w:pPr>
        <w:pStyle w:val="20"/>
        <w:shd w:val="clear" w:color="auto" w:fill="auto"/>
        <w:spacing w:after="0" w:line="240" w:lineRule="auto"/>
        <w:ind w:firstLine="567"/>
        <w:jc w:val="both"/>
        <w:rPr>
          <w:rFonts w:ascii="Times New Roman" w:hAnsi="Times New Roman"/>
          <w:b w:val="0"/>
          <w:sz w:val="28"/>
          <w:szCs w:val="28"/>
        </w:rPr>
      </w:pPr>
      <w:r w:rsidRPr="00466FF6">
        <w:rPr>
          <w:rFonts w:ascii="Times New Roman" w:hAnsi="Times New Roman"/>
          <w:b w:val="0"/>
          <w:sz w:val="28"/>
          <w:szCs w:val="28"/>
        </w:rPr>
        <w:t>Крім того, звільняючи від покарання осіб, які вчинили правопорушення із передачею матеріалів на розгляд трудового колективу, а також закриваючи провадження у справах про притягнення осіб до адміністративної відповідальності за частиною першою статті 130 КУпАП на підставі пункту 1 статті 247 КУпАП, суддя, на думку скаржника, мав застосувати особливо переконливі аргументи, щоб зовнішні спостерігачі були переконані у справедливості судового розгляду.</w:t>
      </w:r>
    </w:p>
    <w:p w:rsidR="00466FF6" w:rsidRDefault="00466FF6" w:rsidP="00466FF6">
      <w:pPr>
        <w:pStyle w:val="20"/>
        <w:shd w:val="clear" w:color="auto" w:fill="auto"/>
        <w:spacing w:after="0" w:line="240" w:lineRule="auto"/>
        <w:ind w:firstLine="567"/>
        <w:contextualSpacing/>
        <w:jc w:val="both"/>
        <w:rPr>
          <w:rFonts w:ascii="Times New Roman" w:hAnsi="Times New Roman"/>
          <w:b w:val="0"/>
          <w:sz w:val="28"/>
          <w:szCs w:val="28"/>
        </w:rPr>
      </w:pPr>
      <w:r w:rsidRPr="00466FF6">
        <w:rPr>
          <w:rFonts w:ascii="Times New Roman" w:hAnsi="Times New Roman"/>
          <w:b w:val="0"/>
          <w:sz w:val="28"/>
          <w:szCs w:val="28"/>
        </w:rPr>
        <w:t xml:space="preserve">5 серпня 2021 року набрав чинності Закон України від 14 липня </w:t>
      </w:r>
      <w:r w:rsidR="00B17279">
        <w:rPr>
          <w:rFonts w:ascii="Times New Roman" w:hAnsi="Times New Roman"/>
          <w:b w:val="0"/>
          <w:sz w:val="28"/>
          <w:szCs w:val="28"/>
        </w:rPr>
        <w:t xml:space="preserve">                 </w:t>
      </w:r>
      <w:r w:rsidRPr="00466FF6">
        <w:rPr>
          <w:rFonts w:ascii="Times New Roman" w:hAnsi="Times New Roman"/>
          <w:b w:val="0"/>
          <w:sz w:val="28"/>
          <w:szCs w:val="28"/>
        </w:rPr>
        <w:t>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w:t>
      </w:r>
      <w:r w:rsidR="00B17279">
        <w:rPr>
          <w:rFonts w:ascii="Times New Roman" w:hAnsi="Times New Roman"/>
          <w:b w:val="0"/>
          <w:sz w:val="28"/>
          <w:szCs w:val="28"/>
        </w:rPr>
        <w:t>дя» (далі – Закон</w:t>
      </w:r>
      <w:r w:rsidRPr="00466FF6">
        <w:rPr>
          <w:rFonts w:ascii="Times New Roman" w:hAnsi="Times New Roman"/>
          <w:b w:val="0"/>
          <w:sz w:val="28"/>
          <w:szCs w:val="28"/>
        </w:rPr>
        <w:t xml:space="preserve"> № 1635-ІХ),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rsidR="00466FF6" w:rsidRDefault="00466FF6" w:rsidP="00210F1E">
      <w:pPr>
        <w:pStyle w:val="20"/>
        <w:shd w:val="clear" w:color="auto" w:fill="auto"/>
        <w:spacing w:after="0" w:line="240" w:lineRule="auto"/>
        <w:ind w:firstLine="567"/>
        <w:contextualSpacing/>
        <w:jc w:val="both"/>
        <w:rPr>
          <w:rFonts w:ascii="Times New Roman" w:hAnsi="Times New Roman"/>
          <w:b w:val="0"/>
          <w:sz w:val="28"/>
          <w:szCs w:val="28"/>
        </w:rPr>
      </w:pPr>
      <w:r w:rsidRPr="00466FF6">
        <w:rPr>
          <w:rFonts w:ascii="Times New Roman" w:hAnsi="Times New Roman"/>
          <w:b w:val="0"/>
          <w:sz w:val="28"/>
          <w:szCs w:val="28"/>
        </w:rPr>
        <w:t xml:space="preserve">Надалі 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набрав чинності 17 вересня 2023 року) та від 6 вересня </w:t>
      </w:r>
      <w:r w:rsidR="00210F1E">
        <w:rPr>
          <w:rFonts w:ascii="Times New Roman" w:hAnsi="Times New Roman"/>
          <w:b w:val="0"/>
          <w:sz w:val="28"/>
          <w:szCs w:val="28"/>
        </w:rPr>
        <w:t xml:space="preserve">               </w:t>
      </w:r>
      <w:r w:rsidRPr="00466FF6">
        <w:rPr>
          <w:rFonts w:ascii="Times New Roman" w:hAnsi="Times New Roman"/>
          <w:b w:val="0"/>
          <w:sz w:val="28"/>
          <w:szCs w:val="28"/>
        </w:rPr>
        <w:t>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w:t>
      </w:r>
      <w:r w:rsidR="00210F1E">
        <w:rPr>
          <w:rFonts w:ascii="Times New Roman" w:hAnsi="Times New Roman"/>
          <w:b w:val="0"/>
          <w:sz w:val="28"/>
          <w:szCs w:val="28"/>
        </w:rPr>
        <w:t xml:space="preserve">сті </w:t>
      </w:r>
      <w:r w:rsidRPr="00466FF6">
        <w:rPr>
          <w:rFonts w:ascii="Times New Roman" w:hAnsi="Times New Roman"/>
          <w:b w:val="0"/>
          <w:sz w:val="28"/>
          <w:szCs w:val="28"/>
        </w:rPr>
        <w:t>19 жовтня 2023 року) внесено зміни до глави 4 «Дисциплінарне провадження» розділу ІІ «Особлива частина» Закону України «Про Вищу раду правосуддя» у частині строків та порядку здійснення дисциплінарного провадження.</w:t>
      </w:r>
    </w:p>
    <w:p w:rsidR="00210F1E" w:rsidRPr="00210F1E" w:rsidRDefault="00210F1E" w:rsidP="00210F1E">
      <w:pPr>
        <w:spacing w:after="0" w:line="240" w:lineRule="auto"/>
        <w:ind w:firstLine="567"/>
        <w:contextualSpacing/>
        <w:jc w:val="both"/>
        <w:rPr>
          <w:rFonts w:ascii="Times New Roman" w:eastAsia="Calibri" w:hAnsi="Times New Roman" w:cs="Times New Roman"/>
          <w:sz w:val="28"/>
          <w:szCs w:val="24"/>
          <w:lang w:eastAsia="ru-RU"/>
        </w:rPr>
      </w:pPr>
      <w:r w:rsidRPr="00210F1E">
        <w:rPr>
          <w:rFonts w:ascii="Times New Roman" w:eastAsia="Calibri" w:hAnsi="Times New Roman" w:cs="Times New Roman"/>
          <w:sz w:val="28"/>
          <w:szCs w:val="24"/>
          <w:lang w:eastAsia="ru-RU"/>
        </w:rPr>
        <w:t xml:space="preserve">Поряд з цим розділ ІІІ «Прикінцеві та перехідні положення» Закону України «Про Вищу раду правосуддя» доповнено пунктом </w:t>
      </w:r>
      <w:r w:rsidRPr="00210F1E">
        <w:rPr>
          <w:rFonts w:ascii="Times New Roman" w:eastAsia="Calibri" w:hAnsi="Times New Roman" w:cs="Times New Roman"/>
          <w:sz w:val="28"/>
          <w:szCs w:val="24"/>
          <w:lang w:eastAsia="uk-UA"/>
        </w:rPr>
        <w:t>23</w:t>
      </w:r>
      <w:r w:rsidRPr="00210F1E">
        <w:rPr>
          <w:rFonts w:ascii="Times New Roman" w:eastAsia="Calibri" w:hAnsi="Times New Roman" w:cs="Times New Roman"/>
          <w:sz w:val="28"/>
          <w:szCs w:val="24"/>
          <w:vertAlign w:val="superscript"/>
          <w:lang w:eastAsia="uk-UA"/>
        </w:rPr>
        <w:t>7</w:t>
      </w:r>
      <w:r w:rsidRPr="00210F1E">
        <w:rPr>
          <w:rFonts w:ascii="Times New Roman" w:eastAsia="Calibri" w:hAnsi="Times New Roman" w:cs="Times New Roman"/>
          <w:sz w:val="28"/>
          <w:szCs w:val="24"/>
          <w:lang w:eastAsia="ru-RU"/>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210F1E" w:rsidRPr="00210F1E" w:rsidRDefault="00210F1E" w:rsidP="00210F1E">
      <w:pPr>
        <w:spacing w:after="0" w:line="240" w:lineRule="auto"/>
        <w:ind w:firstLine="567"/>
        <w:contextualSpacing/>
        <w:jc w:val="both"/>
        <w:rPr>
          <w:rFonts w:ascii="Times New Roman" w:eastAsia="Calibri" w:hAnsi="Times New Roman" w:cs="Times New Roman"/>
          <w:sz w:val="28"/>
          <w:szCs w:val="24"/>
          <w:lang w:eastAsia="ru-RU"/>
        </w:rPr>
      </w:pPr>
      <w:r w:rsidRPr="00210F1E">
        <w:rPr>
          <w:rFonts w:ascii="Times New Roman" w:eastAsia="Calibri" w:hAnsi="Times New Roman" w:cs="Times New Roman"/>
          <w:sz w:val="28"/>
          <w:szCs w:val="24"/>
          <w:lang w:eastAsia="ru-RU"/>
        </w:rPr>
        <w:t>На підставі протоколу автоматизованого розподілу справи між членами Вищої ради правосуддя від 8 листопада 2023 року вказану скаргу передано для попередньої перевірки члену Другої Дисциплінарної палати Вищої ради Мельнику О.П. (доповідач), який відповідно до пункту 23</w:t>
      </w:r>
      <w:r w:rsidRPr="00210F1E">
        <w:rPr>
          <w:rFonts w:ascii="Times New Roman" w:eastAsia="Calibri" w:hAnsi="Times New Roman" w:cs="Times New Roman"/>
          <w:sz w:val="28"/>
          <w:szCs w:val="24"/>
          <w:vertAlign w:val="superscript"/>
          <w:lang w:eastAsia="ru-RU"/>
        </w:rPr>
        <w:t xml:space="preserve">7 </w:t>
      </w:r>
      <w:r w:rsidRPr="00210F1E">
        <w:rPr>
          <w:rFonts w:ascii="Times New Roman" w:eastAsia="Calibri" w:hAnsi="Times New Roman" w:cs="Times New Roman"/>
          <w:sz w:val="28"/>
          <w:szCs w:val="24"/>
          <w:lang w:eastAsia="ru-RU"/>
        </w:rPr>
        <w:t>розділу ІІІ «Прикінцеві та перехідні положення» Закону України «Про Вищу раду правосуддя» (в редакції закону на час вчинення процесуальної дії, далі – Закон України «Про Вищу раду правосуддя») тимчасово здійснює повноваження дисциплінарного інспектора.</w:t>
      </w:r>
    </w:p>
    <w:p w:rsidR="006575F5" w:rsidRDefault="006575F5" w:rsidP="00391A7E">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6575F5">
        <w:rPr>
          <w:rFonts w:ascii="Times New Roman" w:eastAsia="Calibri" w:hAnsi="Times New Roman" w:cs="Times New Roman"/>
          <w:bCs/>
          <w:sz w:val="28"/>
          <w:szCs w:val="28"/>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6575F5" w:rsidRDefault="006575F5" w:rsidP="00D55460">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D55460" w:rsidRPr="00D55460">
        <w:rPr>
          <w:rFonts w:ascii="Times New Roman" w:eastAsia="Calibri" w:hAnsi="Times New Roman" w:cs="Times New Roman"/>
          <w:bCs/>
          <w:sz w:val="28"/>
          <w:szCs w:val="28"/>
        </w:rPr>
        <w:t>Порядок здійснення дисциплінарного провадження визначено главою 4 розділу II Закону України «Про Вищу раду правосуддя».</w:t>
      </w:r>
    </w:p>
    <w:p w:rsidR="00FD594D" w:rsidRDefault="00D55460" w:rsidP="00D55460">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FD594D" w:rsidRPr="00FD594D">
        <w:rPr>
          <w:rFonts w:ascii="Times New Roman" w:eastAsia="Calibri" w:hAnsi="Times New Roman" w:cs="Times New Roman"/>
          <w:bCs/>
          <w:sz w:val="28"/>
          <w:szCs w:val="28"/>
        </w:rPr>
        <w:t xml:space="preserve">Дисциплінарне провадження щодо суддів включає, зокрема, 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залишення без розгляду та повернення дисциплінарної скарги, відмову у відкритті дисциплінарної справи або відкриття дисциплінарної справи </w:t>
      </w:r>
      <w:r w:rsidR="004E7656">
        <w:rPr>
          <w:rFonts w:ascii="Times New Roman" w:eastAsia="Calibri" w:hAnsi="Times New Roman" w:cs="Times New Roman"/>
          <w:bCs/>
          <w:sz w:val="28"/>
          <w:szCs w:val="28"/>
        </w:rPr>
        <w:t xml:space="preserve">                </w:t>
      </w:r>
      <w:r w:rsidR="00FD594D" w:rsidRPr="00FD594D">
        <w:rPr>
          <w:rFonts w:ascii="Times New Roman" w:eastAsia="Calibri" w:hAnsi="Times New Roman" w:cs="Times New Roman"/>
          <w:bCs/>
          <w:sz w:val="28"/>
          <w:szCs w:val="28"/>
        </w:rPr>
        <w:t>(пункт 1 частини третьої статті 42 Закону України «Про Вищу раду правосуддя»).</w:t>
      </w:r>
    </w:p>
    <w:p w:rsidR="00210F1E" w:rsidRPr="00210F1E" w:rsidRDefault="00D55460" w:rsidP="00FD594D">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D55460">
        <w:rPr>
          <w:rFonts w:ascii="Times New Roman" w:eastAsia="Calibri" w:hAnsi="Times New Roman" w:cs="Times New Roman"/>
          <w:bCs/>
          <w:sz w:val="28"/>
          <w:szCs w:val="28"/>
        </w:rPr>
        <w:t xml:space="preserve">За результатами попередньої перевірки дисциплінарної скарги </w:t>
      </w:r>
      <w:r w:rsidR="00210F1E">
        <w:rPr>
          <w:rFonts w:ascii="Times New Roman" w:eastAsia="Calibri" w:hAnsi="Times New Roman" w:cs="Times New Roman"/>
          <w:bCs/>
          <w:sz w:val="28"/>
          <w:szCs w:val="28"/>
        </w:rPr>
        <w:t xml:space="preserve">                          </w:t>
      </w:r>
      <w:r w:rsidRPr="00D55460">
        <w:rPr>
          <w:rFonts w:ascii="Times New Roman" w:eastAsia="Calibri" w:hAnsi="Times New Roman" w:cs="Times New Roman"/>
          <w:bCs/>
          <w:sz w:val="28"/>
          <w:szCs w:val="28"/>
        </w:rPr>
        <w:t xml:space="preserve">член Другої Дисциплінарної палати Вищої ради правосуддя </w:t>
      </w:r>
      <w:r>
        <w:rPr>
          <w:rFonts w:ascii="Times New Roman" w:eastAsia="Calibri" w:hAnsi="Times New Roman" w:cs="Times New Roman"/>
          <w:bCs/>
          <w:sz w:val="28"/>
          <w:szCs w:val="28"/>
        </w:rPr>
        <w:t xml:space="preserve">Мельник О.П. вніс </w:t>
      </w:r>
      <w:r w:rsidRPr="00D55460">
        <w:rPr>
          <w:rFonts w:ascii="Times New Roman" w:eastAsia="Calibri" w:hAnsi="Times New Roman" w:cs="Times New Roman"/>
          <w:bCs/>
          <w:sz w:val="28"/>
          <w:szCs w:val="28"/>
        </w:rPr>
        <w:t xml:space="preserve">пропозицію про відкриття дисциплінарної справи стосовно судді </w:t>
      </w:r>
      <w:r w:rsidR="00210F1E">
        <w:rPr>
          <w:rFonts w:ascii="Times New Roman" w:eastAsia="Calibri" w:hAnsi="Times New Roman" w:cs="Times New Roman"/>
          <w:bCs/>
          <w:sz w:val="28"/>
          <w:szCs w:val="28"/>
        </w:rPr>
        <w:t xml:space="preserve">Рівненського міського суду Рівненської області Рогозіна С.В. </w:t>
      </w:r>
    </w:p>
    <w:p w:rsidR="00210F1E" w:rsidRDefault="00D55460" w:rsidP="00210F1E">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D55460">
        <w:rPr>
          <w:rFonts w:ascii="Times New Roman" w:eastAsia="Calibri" w:hAnsi="Times New Roman" w:cs="Times New Roman"/>
          <w:bCs/>
          <w:sz w:val="28"/>
          <w:szCs w:val="28"/>
        </w:rPr>
        <w:t xml:space="preserve">Здійснивши попереднє вивчення та перевірку дисциплінарної скарги, заслухавши доповідача – члена Другої Дисциплінарної палати </w:t>
      </w:r>
      <w:r w:rsidR="00B17279">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 xml:space="preserve">Мельника О.П., </w:t>
      </w:r>
      <w:r w:rsidRPr="00D55460">
        <w:rPr>
          <w:rFonts w:ascii="Times New Roman" w:eastAsia="Calibri" w:hAnsi="Times New Roman" w:cs="Times New Roman"/>
          <w:bCs/>
          <w:sz w:val="28"/>
          <w:szCs w:val="28"/>
        </w:rPr>
        <w:t xml:space="preserve">Друга Дисциплінарна палата Вищої ради правосуддя дійшла висновку про відкриття дисциплінарної справи стосовно судді </w:t>
      </w:r>
      <w:r w:rsidR="00210F1E" w:rsidRPr="00210F1E">
        <w:rPr>
          <w:rFonts w:ascii="Times New Roman" w:eastAsia="Calibri" w:hAnsi="Times New Roman" w:cs="Times New Roman"/>
          <w:bCs/>
          <w:sz w:val="28"/>
          <w:szCs w:val="28"/>
        </w:rPr>
        <w:t>Рівненського міського суду Рівненської області Рогозіна С.В.</w:t>
      </w:r>
      <w:r w:rsidR="00210F1E">
        <w:rPr>
          <w:rFonts w:ascii="Times New Roman" w:eastAsia="Calibri" w:hAnsi="Times New Roman" w:cs="Times New Roman"/>
          <w:bCs/>
          <w:sz w:val="28"/>
          <w:szCs w:val="28"/>
        </w:rPr>
        <w:t>, з огляду на таке.</w:t>
      </w:r>
    </w:p>
    <w:p w:rsidR="00210F1E" w:rsidRDefault="00210F1E" w:rsidP="00210F1E">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210F1E">
        <w:rPr>
          <w:rFonts w:ascii="Times New Roman" w:eastAsia="Calibri" w:hAnsi="Times New Roman" w:cs="Times New Roman"/>
          <w:bCs/>
          <w:sz w:val="28"/>
          <w:szCs w:val="28"/>
        </w:rPr>
        <w:t>Згідно зі статтею 1 КУпАП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210F1E" w:rsidRDefault="00210F1E" w:rsidP="00210F1E">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210F1E">
        <w:rPr>
          <w:rFonts w:ascii="Times New Roman" w:eastAsia="Calibri" w:hAnsi="Times New Roman" w:cs="Times New Roman"/>
          <w:bCs/>
          <w:sz w:val="28"/>
          <w:szCs w:val="28"/>
        </w:rPr>
        <w:t>Завданнями провадження в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з законом, забезпечення виконання винесеної постанови, а також виявлення причин та умов, що сприяють вчиненню адміністративних правопорушень, запобігання правопорушенням, виховання громадян у дусі додержанн</w:t>
      </w:r>
      <w:r w:rsidR="00B17279">
        <w:rPr>
          <w:rFonts w:ascii="Times New Roman" w:eastAsia="Calibri" w:hAnsi="Times New Roman" w:cs="Times New Roman"/>
          <w:bCs/>
          <w:sz w:val="28"/>
          <w:szCs w:val="28"/>
        </w:rPr>
        <w:t>я законів, зміцнення законності</w:t>
      </w:r>
      <w:r>
        <w:rPr>
          <w:rFonts w:ascii="Times New Roman" w:eastAsia="Calibri" w:hAnsi="Times New Roman" w:cs="Times New Roman"/>
          <w:bCs/>
          <w:sz w:val="28"/>
          <w:szCs w:val="28"/>
        </w:rPr>
        <w:t xml:space="preserve"> </w:t>
      </w:r>
      <w:r w:rsidRPr="00210F1E">
        <w:rPr>
          <w:rFonts w:ascii="Times New Roman" w:eastAsia="Calibri" w:hAnsi="Times New Roman" w:cs="Times New Roman"/>
          <w:bCs/>
          <w:sz w:val="28"/>
          <w:szCs w:val="28"/>
        </w:rPr>
        <w:t>(стаття 245 КУпАП).</w:t>
      </w:r>
    </w:p>
    <w:p w:rsidR="00210F1E" w:rsidRDefault="00210F1E" w:rsidP="00210F1E">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210F1E">
        <w:rPr>
          <w:rFonts w:ascii="Times New Roman" w:eastAsia="Calibri" w:hAnsi="Times New Roman" w:cs="Times New Roman"/>
          <w:bCs/>
          <w:sz w:val="28"/>
          <w:szCs w:val="28"/>
        </w:rPr>
        <w:t>Уповноважений орган (посадова особа) під час розгляду справи про адміністративне правопорушення з метою забезпечення дотримання прав особи, яка притягається до адміністративної відповідальності, індивідуалізації її відповідальності та реалізації вимог статті 245 КУпАП щодо своєчасного, всебічного, повного і об’єктивного з’ясування обставин справи, вирішення її у відповідності із законом згідно з вимогами статті 280 КУпАП зобов’язаний з’ясувати: чи було вчинено адміністративне правопорушення, чи винна дана особа в його вчиненні, чи підлягає вона адміністративній відповідальності, чи є обставини, що пом’якшують і обтяжують відповідальність, чи заподіяно майнову шкоду, чи є підстави для передачі матеріалів про адміністративне правопорушення на розгляд громадської організації, трудового колективу, а також з’ясувати інші обставини, що мають значення для правильного вирішення справи. При накладенні стягнення уповноважений орган (посадова особа) враховує характер вчиненого правопорушення, особу порушника, ступінь його вини, майновий стан, обставини, що пом’якшують і обтяжують відповідальність (частина друга статті 33 КУпАП).</w:t>
      </w:r>
    </w:p>
    <w:p w:rsidR="00210F1E" w:rsidRDefault="00210F1E" w:rsidP="00210F1E">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210F1E">
        <w:rPr>
          <w:rFonts w:ascii="Times New Roman" w:eastAsia="Calibri" w:hAnsi="Times New Roman" w:cs="Times New Roman"/>
          <w:bCs/>
          <w:sz w:val="28"/>
          <w:szCs w:val="28"/>
        </w:rPr>
        <w:t>Підпунктом «а» пункту 2.9 Правил дорожнього руху визначено, що водієві забороняється керувати транспортним засобом у стані алкогольного, наркотичного чи іншого сп’яніння або перебування під впливом лікарських препаратів, що знижують увагу та швидкість реакції. Згідно з пунктом 2.5 цих Правил водій повинен на вимогу поліцейського пройти в установленому порядку медичний огляд з метою встановлення стану алкогольного, наркотичного чи іншого сп’яніння або перебування під впливом лікарських препаратів, що знижують увагу та швидкість реакції.</w:t>
      </w:r>
    </w:p>
    <w:p w:rsidR="00210F1E" w:rsidRDefault="00210F1E" w:rsidP="00210F1E">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210F1E">
        <w:rPr>
          <w:rFonts w:ascii="Times New Roman" w:eastAsia="Calibri" w:hAnsi="Times New Roman" w:cs="Times New Roman"/>
          <w:bCs/>
          <w:sz w:val="28"/>
          <w:szCs w:val="28"/>
        </w:rPr>
        <w:t>Частиною першою статті 130 КУпАП передбачена відповідальність за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а також передача керування транспортним засобом особі, яка перебуває в стані такого сп’яніння чи під впливом таких лікарських препаратів, а так само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w:t>
      </w:r>
    </w:p>
    <w:p w:rsidR="00210F1E" w:rsidRDefault="00210F1E" w:rsidP="00210F1E">
      <w:pPr>
        <w:widowControl w:val="0"/>
        <w:tabs>
          <w:tab w:val="left" w:pos="567"/>
        </w:tabs>
        <w:autoSpaceDN w:val="0"/>
        <w:spacing w:after="0" w:line="240" w:lineRule="auto"/>
        <w:contextualSpacing/>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210F1E">
        <w:rPr>
          <w:rFonts w:ascii="Times New Roman" w:eastAsia="Calibri" w:hAnsi="Times New Roman" w:cs="Times New Roman"/>
          <w:bCs/>
          <w:sz w:val="28"/>
          <w:szCs w:val="28"/>
        </w:rPr>
        <w:t>Частиною другою статті 130 КУпАП встановлена адміністративна відповідальність за повторне протягом року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а також передача керування транспортним засобом особі, яка перебуває в стані такого сп’яніння чи під впливом таких лікарських препаратів, а так само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w:t>
      </w:r>
    </w:p>
    <w:p w:rsidR="00210F1E" w:rsidRPr="00210F1E" w:rsidRDefault="00210F1E" w:rsidP="00210F1E">
      <w:pPr>
        <w:widowControl w:val="0"/>
        <w:tabs>
          <w:tab w:val="left" w:pos="567"/>
        </w:tabs>
        <w:autoSpaceDN w:val="0"/>
        <w:spacing w:after="0" w:line="240" w:lineRule="auto"/>
        <w:contextualSpacing/>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210F1E">
        <w:rPr>
          <w:rFonts w:ascii="Times New Roman" w:eastAsia="Calibri" w:hAnsi="Times New Roman" w:cs="Times New Roman"/>
          <w:bCs/>
          <w:sz w:val="28"/>
          <w:szCs w:val="28"/>
        </w:rPr>
        <w:t>Частина четверта статті 130 КУпАП передбачає відповідальність за вживання водієм транспортного засобу після дорожньо-транспортної пригоди за його участю алкоголю, наркотиків, а також лікарських препаратів, виготовлених на їх основі (крім тих, що входять до офіційно затвердженого складу аптечки або призначені медичним працівником), або після того, як транспортний засіб був зупинений на вимогу поліцейського, до проведення уповноваженою особою медичного огляду з метою встановлення стану алкогольного, наркотичного чи іншого сп’яніння або щодо вживання лікарських препаратів, що знижують його увагу та швидкість реакції, чи до прийняття рішення про звільнення від проведення такого огляду.</w:t>
      </w:r>
    </w:p>
    <w:p w:rsidR="00210F1E" w:rsidRDefault="00210F1E" w:rsidP="00210F1E">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210F1E">
        <w:rPr>
          <w:rFonts w:ascii="Times New Roman" w:eastAsia="Calibri" w:hAnsi="Times New Roman" w:cs="Times New Roman"/>
          <w:bCs/>
          <w:sz w:val="28"/>
          <w:szCs w:val="28"/>
        </w:rPr>
        <w:t>Варто зауважити, що транспортний засіб законодавцем позиціонується як джерело підвищеної небезпеки (стаття 1187 Цивільного кодексу України), його експлуатація завжди пов’язана з ризиком для життя і здоров’я, безпеки довкілля, а тому особа, яка володіє чи користується транспортним засобом, не може використовувати його на шкоду правам і свободам громадян, інтересам суспільства.</w:t>
      </w:r>
    </w:p>
    <w:p w:rsidR="00210F1E" w:rsidRDefault="00210F1E" w:rsidP="00210F1E">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210F1E">
        <w:rPr>
          <w:rFonts w:ascii="Times New Roman" w:eastAsia="Calibri" w:hAnsi="Times New Roman" w:cs="Times New Roman"/>
          <w:bCs/>
          <w:sz w:val="28"/>
          <w:szCs w:val="28"/>
        </w:rPr>
        <w:t>Саме характер суспільної небезпеки (суспільної шкідливості) відмежовує адміністративне правопорушення, передбачене статтею 130 КУпАП, від кримінального правопорушення. Адміністративне правопорушення, передбачене статтею 130 КУпАП, за своїм складом є формальним, а диспозиція вказаної статті не містить вказівок на настання шкідливих наслідків протиправного діяння, фізичної шкоди, яка могла бути завдана об’єкту посягання, тобто відповідальність настає лише за сам факт вчинення діяння. Відсутність шкідливих наслідків для охоронюваних законом прав та інтересів не впливає на наявність складу адміністративного правопорушення, передбаченого статтею 130 КУпАП. Водночас наслідком вчинення дій, які утворюють склад кримінального правопорушення, може бути реальна шкода охоронюваним суспільним інтересам, зокрема заподіяння тяжкої шкоди здоров’ю потерпілого або заподіяння смерті потерпілому.</w:t>
      </w:r>
    </w:p>
    <w:p w:rsidR="00210F1E" w:rsidRDefault="00210F1E" w:rsidP="00210F1E">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210F1E">
        <w:rPr>
          <w:rFonts w:ascii="Times New Roman" w:eastAsia="Calibri" w:hAnsi="Times New Roman" w:cs="Times New Roman"/>
          <w:bCs/>
          <w:sz w:val="28"/>
          <w:szCs w:val="28"/>
        </w:rPr>
        <w:t>Слід зауважити, що саме характер суспільної небезпеки (суспільної шкідливості) відмежовує адміністративне правопорушення, передбачене статтею 130 КУпАП, від кримінального правопорушення. Адміністративне правопорушення, передбачене статтею 130 КУпАП, за своїм складом є формальним, а диспозиція вказаної статті не містить вказівок на настання шкідливих наслідків протиправного діяння, фізичної шкоди, яка могла бути завдана об’єкту посягання, тобто відповідальність настає лише за сам факт вчинення діяння. Відсутність шкідливих наслідків для охоронюваних законом прав та інтересів не впливає на наявність складу адміністративного правопорушення, передбаченого статтею 130 КУпАП. Водночас наслідком вчинення дій, які утворюють склад кримінального правопорушення, може бути реальна шкода охоронюваним суспільним інтересам, зокрема заподіяння тяжкої шкоди здоров’ю або смерті потерпілого.</w:t>
      </w:r>
    </w:p>
    <w:p w:rsidR="00210F1E" w:rsidRPr="00210F1E" w:rsidRDefault="00210F1E" w:rsidP="00210F1E">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210F1E">
        <w:rPr>
          <w:rFonts w:ascii="Times New Roman" w:eastAsia="Calibri" w:hAnsi="Times New Roman" w:cs="Times New Roman"/>
          <w:bCs/>
          <w:sz w:val="28"/>
          <w:szCs w:val="28"/>
        </w:rPr>
        <w:t>У свою чергу, статтею 7 КУпАП визначено, що ніхто не може бути підданий заходу впливу в зв’язку з адміністративним правопорушенням інакше як на підставах і в порядку, встановлених законом. Провадження в справах про адміністративні правопорушення здійснюється на основі суворого додержання законності. Застосування уповноваженими на те органами і посадовими особами заходів адміністративного впливу провадиться в межах їх компетенції, у точній відповідності з законом.</w:t>
      </w:r>
    </w:p>
    <w:p w:rsidR="00210F1E" w:rsidRDefault="00210F1E" w:rsidP="00210F1E">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210F1E">
        <w:rPr>
          <w:rFonts w:ascii="Times New Roman" w:eastAsia="Calibri" w:hAnsi="Times New Roman" w:cs="Times New Roman"/>
          <w:bCs/>
          <w:sz w:val="28"/>
          <w:szCs w:val="28"/>
        </w:rPr>
        <w:t>Відповідно до частини другої статті 284 КУпАП постанова про закриття справи виноситься при оголошенні усного зауваження, передачі матеріалів на розгляд громадської організації чи трудового колективу або передачі їх прокурору, органу досудового розслідування, а також при наявності обставин, передбачених статтею 247 цього Кодексу.</w:t>
      </w:r>
    </w:p>
    <w:p w:rsidR="00210F1E" w:rsidRPr="00210F1E" w:rsidRDefault="00210F1E" w:rsidP="00210F1E">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210F1E">
        <w:rPr>
          <w:rFonts w:ascii="Times New Roman" w:eastAsia="Calibri" w:hAnsi="Times New Roman" w:cs="Times New Roman"/>
          <w:bCs/>
          <w:sz w:val="28"/>
          <w:szCs w:val="28"/>
        </w:rPr>
        <w:t>Частиною першою статті 21 КУпАП (у редакції, яка діяла до 17 березня    2021 року) передбачено, що особа, яка вчинила адміністративне правопорушення, крім посадової особи, звільняється від адміністративної відповідальності з передачею матеріалів на розгляд громадської організації або трудового колективу, якщо з урахуванням характеру вчиненого правопорушення і особи правопорушника до нього доцільно застосувати захід громадського впливу.</w:t>
      </w:r>
    </w:p>
    <w:p w:rsidR="00210F1E" w:rsidRDefault="00210F1E" w:rsidP="00210F1E">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210F1E">
        <w:rPr>
          <w:rFonts w:ascii="Times New Roman" w:eastAsia="Calibri" w:hAnsi="Times New Roman" w:cs="Times New Roman"/>
          <w:bCs/>
          <w:sz w:val="28"/>
          <w:szCs w:val="28"/>
        </w:rPr>
        <w:t xml:space="preserve">Разом з тим, з урахуванням того, що характер адміністративного правопорушення, передбаченого статтею 130 КУпАП, має підвищену суспільну небезпечність порівняно з іншими встановленими цим Кодексом правопорушеннями, вказане зменшувало необхідність звільнення судом особи від відповідальності на підставі частини першої статті 21 КУпАП (зазначене стосується адміністративних правопорушень вчинених до </w:t>
      </w:r>
      <w:r w:rsidR="00B17279">
        <w:rPr>
          <w:rFonts w:ascii="Times New Roman" w:eastAsia="Calibri" w:hAnsi="Times New Roman" w:cs="Times New Roman"/>
          <w:bCs/>
          <w:sz w:val="28"/>
          <w:szCs w:val="28"/>
        </w:rPr>
        <w:t xml:space="preserve">                     17 березня</w:t>
      </w:r>
      <w:r>
        <w:rPr>
          <w:rFonts w:ascii="Times New Roman" w:eastAsia="Calibri" w:hAnsi="Times New Roman" w:cs="Times New Roman"/>
          <w:bCs/>
          <w:sz w:val="28"/>
          <w:szCs w:val="28"/>
        </w:rPr>
        <w:t xml:space="preserve"> </w:t>
      </w:r>
      <w:r w:rsidRPr="00210F1E">
        <w:rPr>
          <w:rFonts w:ascii="Times New Roman" w:eastAsia="Calibri" w:hAnsi="Times New Roman" w:cs="Times New Roman"/>
          <w:bCs/>
          <w:sz w:val="28"/>
          <w:szCs w:val="28"/>
        </w:rPr>
        <w:t>2021 року).</w:t>
      </w:r>
    </w:p>
    <w:p w:rsidR="00210F1E" w:rsidRDefault="00210F1E" w:rsidP="00210F1E">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210F1E">
        <w:rPr>
          <w:rFonts w:ascii="Times New Roman" w:eastAsia="Calibri" w:hAnsi="Times New Roman" w:cs="Times New Roman"/>
          <w:bCs/>
          <w:sz w:val="28"/>
          <w:szCs w:val="28"/>
        </w:rPr>
        <w:t>Водночас Законом України від 16 лютого 2021 року № 1231-IX «Про внесення змін до деяких законодавчих актів України щодо посилення відповідальності за окремі правопорушення у сфері безпеки дорожнього руху» (далі – Закон № 1231-IX), який набрав чинності 17 березня 2021 року, частину першу статті 21 КУпАП після слів «крім посадової особи» доповнено словами і цифрами «та особи, яка вчинила правопорушення, передбачені частинами другою – четвертою статті 126 та статтею 130».</w:t>
      </w:r>
    </w:p>
    <w:p w:rsidR="00210F1E" w:rsidRDefault="00210F1E" w:rsidP="00210F1E">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210F1E">
        <w:rPr>
          <w:rFonts w:ascii="Times New Roman" w:eastAsia="Calibri" w:hAnsi="Times New Roman" w:cs="Times New Roman"/>
          <w:bCs/>
          <w:sz w:val="28"/>
          <w:szCs w:val="28"/>
        </w:rPr>
        <w:t xml:space="preserve">Отже, із 17 березня 2021 року приписи частини першої статті 21 КУпАП чітко та однозначно вказували на заборону щодо їх застосування у випадку вчинення особою адміністративного правопорушення, передбаченого                  статтею 130 КУпАП.   </w:t>
      </w:r>
    </w:p>
    <w:p w:rsidR="00210F1E" w:rsidRDefault="00210F1E" w:rsidP="00210F1E">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210F1E">
        <w:rPr>
          <w:rFonts w:ascii="Times New Roman" w:eastAsia="Calibri" w:hAnsi="Times New Roman" w:cs="Times New Roman"/>
          <w:bCs/>
          <w:sz w:val="28"/>
          <w:szCs w:val="28"/>
        </w:rPr>
        <w:t>Необхідно зауважити, що особа, яка вчинила адміністративне правопорушення, підлягає відповідальності на підставі закону, що діє під час і за місцем вчинення правопорушення. Провадження в справах про адміністративні правопорушення ведеться на підставі закону, що діє під час і за місцем розгляду справи про правопорушення (стаття 8 КУпАП).</w:t>
      </w:r>
    </w:p>
    <w:p w:rsidR="00210F1E" w:rsidRDefault="00210F1E" w:rsidP="00210F1E">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210F1E">
        <w:rPr>
          <w:rFonts w:ascii="Times New Roman" w:eastAsia="Calibri" w:hAnsi="Times New Roman" w:cs="Times New Roman"/>
          <w:bCs/>
          <w:sz w:val="28"/>
          <w:szCs w:val="28"/>
        </w:rPr>
        <w:t xml:space="preserve">Відповідно до Висновку Консультативної ради європейських суддів </w:t>
      </w:r>
      <w:r>
        <w:rPr>
          <w:rFonts w:ascii="Times New Roman" w:eastAsia="Calibri" w:hAnsi="Times New Roman" w:cs="Times New Roman"/>
          <w:bCs/>
          <w:sz w:val="28"/>
          <w:szCs w:val="28"/>
        </w:rPr>
        <w:t xml:space="preserve">                          </w:t>
      </w:r>
      <w:r w:rsidRPr="00210F1E">
        <w:rPr>
          <w:rFonts w:ascii="Times New Roman" w:eastAsia="Calibri" w:hAnsi="Times New Roman" w:cs="Times New Roman"/>
          <w:bCs/>
          <w:sz w:val="28"/>
          <w:szCs w:val="28"/>
        </w:rPr>
        <w:t>№ 1 (2008) щодо якості судових рішень судові рішення повинні, у принципі, бути обґрунтованими. Підстави прийняття рішення повинні бути узгодженими, чіткими, недвозначними й несуперечливими. Вони повинні давати можливість читачеві простежити логіку міркувань, які привели суддю до ухваленого ним рішення. Хоча судді й мають можливість, а інколи й зобов’язані учиняти деякі дії з власної ініціативи, вони повинні давати відповідь лише на доречні доводи, здатні вплинути на вирішення спору. Виклад підстав для прийняття рішення не повинен неодмінно бути довгим, оскільки необхідно знайти належний баланс між стислістю та правильним розумінням ухваленого рішення.</w:t>
      </w:r>
    </w:p>
    <w:p w:rsidR="00210F1E" w:rsidRDefault="00210F1E" w:rsidP="00210F1E">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210F1E">
        <w:rPr>
          <w:rFonts w:ascii="Times New Roman" w:eastAsia="Calibri" w:hAnsi="Times New Roman" w:cs="Times New Roman"/>
          <w:bCs/>
          <w:sz w:val="28"/>
          <w:szCs w:val="28"/>
        </w:rPr>
        <w:t>Згідно з пунктом 41 зазначеного Висновку обов’язок суддів наводити підстави для своїх рішень не означає необхідності відповідати на кожен аргумент захисту на підтримку кожної підстави захисту. Обсяг цього обов’язку може змінюватися залежно від характеру рішення. Відповідно до практики Європейського суду з прав людини очікуваний обсяг обґрунтування залежить від різних доводів, що їх може надавати кожна зі сторін, а також від різних правових положень, звичаїв та доктринальних принципів, а крім того, ще й від різних практик підготовки та представлення рішень у різних країнах.</w:t>
      </w:r>
    </w:p>
    <w:p w:rsidR="00210F1E" w:rsidRPr="00210F1E" w:rsidRDefault="00210F1E" w:rsidP="00210F1E">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210F1E">
        <w:rPr>
          <w:rFonts w:ascii="Times New Roman" w:eastAsia="Calibri" w:hAnsi="Times New Roman" w:cs="Times New Roman"/>
          <w:bCs/>
          <w:sz w:val="28"/>
          <w:szCs w:val="28"/>
        </w:rPr>
        <w:t>Пунктом 1 статті 6 Конвенції про захист прав людини і основоположних свобод (далі – Конвенція) передбачено,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w:t>
      </w:r>
    </w:p>
    <w:p w:rsidR="00210F1E" w:rsidRDefault="00210F1E" w:rsidP="00210F1E">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210F1E">
        <w:rPr>
          <w:rFonts w:ascii="Times New Roman" w:eastAsia="Calibri" w:hAnsi="Times New Roman" w:cs="Times New Roman"/>
          <w:bCs/>
          <w:sz w:val="28"/>
          <w:szCs w:val="28"/>
        </w:rPr>
        <w:t xml:space="preserve">Право особи на справедливий судовий розгляд при визначенні її прав і обов’язків забезпечується і конкретизується, зокрема, через право на мотивоване судове рішення, що також знайшло пояснення у прецедентах </w:t>
      </w:r>
      <w:r w:rsidR="00357DDD">
        <w:rPr>
          <w:rFonts w:ascii="Times New Roman" w:eastAsia="Calibri" w:hAnsi="Times New Roman" w:cs="Times New Roman"/>
          <w:bCs/>
          <w:sz w:val="28"/>
          <w:szCs w:val="28"/>
        </w:rPr>
        <w:t>ЄСПЛ</w:t>
      </w:r>
      <w:r w:rsidRPr="00210F1E">
        <w:rPr>
          <w:rFonts w:ascii="Times New Roman" w:eastAsia="Calibri" w:hAnsi="Times New Roman" w:cs="Times New Roman"/>
          <w:bCs/>
          <w:sz w:val="28"/>
          <w:szCs w:val="28"/>
        </w:rPr>
        <w:t xml:space="preserve">. Водночас, як свідчить прецедентна практика </w:t>
      </w:r>
      <w:r w:rsidR="00357DDD">
        <w:rPr>
          <w:rFonts w:ascii="Times New Roman" w:eastAsia="Calibri" w:hAnsi="Times New Roman" w:cs="Times New Roman"/>
          <w:bCs/>
          <w:sz w:val="28"/>
          <w:szCs w:val="28"/>
        </w:rPr>
        <w:t>ЄСПЛ</w:t>
      </w:r>
      <w:r w:rsidRPr="00210F1E">
        <w:rPr>
          <w:rFonts w:ascii="Times New Roman" w:eastAsia="Calibri" w:hAnsi="Times New Roman" w:cs="Times New Roman"/>
          <w:bCs/>
          <w:sz w:val="28"/>
          <w:szCs w:val="28"/>
        </w:rPr>
        <w:t>, пункт 1 статті 6 Конвенції не може тлумачитись як такий, що вимагає детальної відповіді на кожний аргумент сторін. Межа, до якої суд має виконати обов’язок щодо обґрунтування рішення, може бути різною залежно від характеру рішення (рішення у справі «Ruiz Torija v. Spain</w:t>
      </w:r>
      <w:r>
        <w:rPr>
          <w:rFonts w:ascii="Times New Roman" w:eastAsia="Calibri" w:hAnsi="Times New Roman" w:cs="Times New Roman"/>
          <w:bCs/>
          <w:sz w:val="28"/>
          <w:szCs w:val="28"/>
        </w:rPr>
        <w:t xml:space="preserve">» від 9 грудня </w:t>
      </w:r>
      <w:r w:rsidRPr="00210F1E">
        <w:rPr>
          <w:rFonts w:ascii="Times New Roman" w:eastAsia="Calibri" w:hAnsi="Times New Roman" w:cs="Times New Roman"/>
          <w:bCs/>
          <w:sz w:val="28"/>
          <w:szCs w:val="28"/>
        </w:rPr>
        <w:t>1994 року).</w:t>
      </w:r>
    </w:p>
    <w:p w:rsidR="00210F1E" w:rsidRDefault="00210F1E" w:rsidP="00210F1E">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357DDD" w:rsidRPr="00357DDD">
        <w:rPr>
          <w:rFonts w:ascii="Times New Roman" w:eastAsia="Calibri" w:hAnsi="Times New Roman" w:cs="Times New Roman"/>
          <w:bCs/>
          <w:sz w:val="28"/>
          <w:szCs w:val="28"/>
        </w:rPr>
        <w:t xml:space="preserve">Як неодноразово вказував </w:t>
      </w:r>
      <w:r w:rsidR="00357DDD">
        <w:rPr>
          <w:rFonts w:ascii="Times New Roman" w:eastAsia="Calibri" w:hAnsi="Times New Roman" w:cs="Times New Roman"/>
          <w:bCs/>
          <w:sz w:val="28"/>
          <w:szCs w:val="28"/>
        </w:rPr>
        <w:t>ЄСПЛ</w:t>
      </w:r>
      <w:r w:rsidR="00357DDD" w:rsidRPr="00357DDD">
        <w:rPr>
          <w:rFonts w:ascii="Times New Roman" w:eastAsia="Calibri" w:hAnsi="Times New Roman" w:cs="Times New Roman"/>
          <w:bCs/>
          <w:sz w:val="28"/>
          <w:szCs w:val="28"/>
        </w:rPr>
        <w:t>, право на вмотивованість судового рішення досягає більш загального принципу, втіленого у Конвенції, який захищає особу від сваволі; рішення національного суду повинно містити мотиви, які достатні для того, щоб відповісти на істотні аспекти доводів сторони (рішення у справі «Руїз Торіха проти Іспанії», параграфи 29–30). Це право не вимагає детальної відповіді на кожен аргумент, використаний стороною (параграф 32 рішення у справі «Гірвісаарі проти Фінляндії»).</w:t>
      </w:r>
    </w:p>
    <w:p w:rsidR="00357DDD" w:rsidRPr="00357DDD" w:rsidRDefault="00357DDD" w:rsidP="00357DDD">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357DDD">
        <w:rPr>
          <w:rFonts w:ascii="Times New Roman" w:eastAsia="Calibri" w:hAnsi="Times New Roman" w:cs="Times New Roman"/>
          <w:bCs/>
          <w:sz w:val="28"/>
          <w:szCs w:val="28"/>
        </w:rPr>
        <w:t>Національний суд має певну свободу розсуду щодо вибору аргументів у тій чи іншій справі та прийняття доказів на підтвердження позицій сторін, проте зобов’язаний виправдати свої дії, навівши обґрунтування своїх рішень (див. рішення у справі «Суомінен проти Фінляндії» від 1 липня 2003 року (Suominen v. Finland), № 37801/97, пункт 36).</w:t>
      </w:r>
    </w:p>
    <w:p w:rsidR="00210F1E" w:rsidRDefault="00357DDD" w:rsidP="00357DDD">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357DDD">
        <w:rPr>
          <w:rFonts w:ascii="Times New Roman" w:eastAsia="Calibri" w:hAnsi="Times New Roman" w:cs="Times New Roman"/>
          <w:bCs/>
          <w:sz w:val="28"/>
          <w:szCs w:val="28"/>
        </w:rPr>
        <w:t>Лише за умови винесення обґрунтованого рішення може забезпечуватись публічний контроль за здійсненням правосуддя (див. рішення у справі «Гірвісаарі проти Фінляндії» (Hirvisaari v. Finland), від 27 вересня 2001 року). Залишення поза увагою ключових доводів сторони є прямим порушенням загальної вимоги про справедливість розгляду.</w:t>
      </w:r>
    </w:p>
    <w:p w:rsidR="00210F1E" w:rsidRDefault="00357DDD" w:rsidP="00357DDD">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357DDD">
        <w:rPr>
          <w:rFonts w:ascii="Times New Roman" w:eastAsia="Calibri" w:hAnsi="Times New Roman" w:cs="Times New Roman"/>
          <w:bCs/>
          <w:sz w:val="28"/>
          <w:szCs w:val="28"/>
        </w:rPr>
        <w:t>Здійснюючи правосуддя, суддя повинен застосовувати закон так, щоб не порушувати довіру громадян до справедливого судового розгляду незалежним і безстороннім судом.</w:t>
      </w:r>
    </w:p>
    <w:p w:rsidR="00357DDD" w:rsidRDefault="00357DDD" w:rsidP="00F301EC">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F301EC" w:rsidRPr="00F301EC">
        <w:rPr>
          <w:rFonts w:ascii="Times New Roman" w:eastAsia="Calibri" w:hAnsi="Times New Roman" w:cs="Times New Roman"/>
          <w:bCs/>
          <w:sz w:val="28"/>
          <w:szCs w:val="28"/>
        </w:rPr>
        <w:t xml:space="preserve">Враховуючи наведене, </w:t>
      </w:r>
      <w:r w:rsidR="00F301EC">
        <w:rPr>
          <w:rFonts w:ascii="Times New Roman" w:eastAsia="Calibri" w:hAnsi="Times New Roman" w:cs="Times New Roman"/>
          <w:bCs/>
          <w:sz w:val="28"/>
          <w:szCs w:val="28"/>
        </w:rPr>
        <w:t xml:space="preserve">Друга Дисциплінарна палата Вищої ради правосуддя вважає, що </w:t>
      </w:r>
      <w:r w:rsidR="00F301EC" w:rsidRPr="00F301EC">
        <w:rPr>
          <w:rFonts w:ascii="Times New Roman" w:eastAsia="Calibri" w:hAnsi="Times New Roman" w:cs="Times New Roman"/>
          <w:bCs/>
          <w:sz w:val="28"/>
          <w:szCs w:val="28"/>
        </w:rPr>
        <w:t>в діях судді Рівненського міського суду Рівненської області Рогозіна С.В. можуть міститися ознаки складів дисциплінарних проступків, передбачених підпунктом «б» пункту 1, пункту 3 частини першої статті 106 Закону України «Про судоустрій і статус суддів», а саме:</w:t>
      </w:r>
    </w:p>
    <w:p w:rsidR="00F301EC" w:rsidRPr="00F301EC" w:rsidRDefault="00F301EC" w:rsidP="00F301EC">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F301EC">
        <w:rPr>
          <w:rFonts w:ascii="Times New Roman" w:eastAsia="Calibri" w:hAnsi="Times New Roman" w:cs="Times New Roman"/>
          <w:bCs/>
          <w:sz w:val="28"/>
          <w:szCs w:val="28"/>
        </w:rPr>
        <w:t>умисне або внаслідок недбалості незазначення в судовому рішенні мотивів прийняття або відхилення аргументів сторін щодо суті спору;</w:t>
      </w:r>
    </w:p>
    <w:p w:rsidR="00F301EC" w:rsidRPr="00F301EC" w:rsidRDefault="00F301EC" w:rsidP="00F301EC">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F301EC">
        <w:rPr>
          <w:rFonts w:ascii="Times New Roman" w:eastAsia="Calibri" w:hAnsi="Times New Roman" w:cs="Times New Roman"/>
          <w:bCs/>
          <w:sz w:val="28"/>
          <w:szCs w:val="28"/>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w:t>
      </w:r>
    </w:p>
    <w:p w:rsidR="00210F1E" w:rsidRDefault="00F301EC" w:rsidP="00F301EC">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F301EC">
        <w:rPr>
          <w:rFonts w:ascii="Times New Roman" w:eastAsia="Calibri" w:hAnsi="Times New Roman" w:cs="Times New Roman"/>
          <w:bCs/>
          <w:sz w:val="28"/>
          <w:szCs w:val="28"/>
        </w:rPr>
        <w:t>Наведені вище обставини підлягають повному з’ясуванню та кваліфікації в порядку дисциплінарного провадження після відкриття дисциплінарної справи.</w:t>
      </w:r>
    </w:p>
    <w:p w:rsidR="00F301EC" w:rsidRDefault="00F301EC" w:rsidP="00981049">
      <w:pPr>
        <w:widowControl w:val="0"/>
        <w:tabs>
          <w:tab w:val="left" w:pos="567"/>
          <w:tab w:val="left" w:pos="709"/>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00981049" w:rsidRPr="00981049">
        <w:rPr>
          <w:rFonts w:ascii="Times New Roman" w:eastAsia="Calibri" w:hAnsi="Times New Roman" w:cs="Times New Roman"/>
          <w:bCs/>
          <w:sz w:val="28"/>
          <w:szCs w:val="28"/>
        </w:rPr>
        <w:t>Друга Дисциплінарна палата Вищої ради правосуддя не встановила визначених статтями 44, 45 Закону України «Про Вищу раду правосуддя» підстав для відмови у відкритті дисциплінарної справи чи повернення дисциплінарної скарги.</w:t>
      </w:r>
    </w:p>
    <w:p w:rsidR="00FD594D" w:rsidRDefault="00FD594D" w:rsidP="00981049">
      <w:pPr>
        <w:widowControl w:val="0"/>
        <w:tabs>
          <w:tab w:val="left" w:pos="567"/>
        </w:tabs>
        <w:autoSpaceDN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FD594D">
        <w:rPr>
          <w:rFonts w:ascii="Times New Roman" w:eastAsia="Calibri" w:hAnsi="Times New Roman" w:cs="Times New Roman"/>
          <w:bCs/>
          <w:sz w:val="28"/>
          <w:szCs w:val="28"/>
        </w:rPr>
        <w:t>Керуючись статтею 46 Закону України «Про Вищу раду правосуддя», статтею 106 Закону України «Про судоустрій і статус суддів», Друга Дисциплінарна палата Вищої ради правосуддя</w:t>
      </w:r>
    </w:p>
    <w:p w:rsidR="00FD594D" w:rsidRDefault="00FD594D" w:rsidP="006575F5">
      <w:pPr>
        <w:widowControl w:val="0"/>
        <w:tabs>
          <w:tab w:val="left" w:pos="567"/>
        </w:tabs>
        <w:autoSpaceDN w:val="0"/>
        <w:spacing w:after="0" w:line="240" w:lineRule="auto"/>
        <w:jc w:val="both"/>
        <w:rPr>
          <w:rFonts w:ascii="Times New Roman" w:eastAsia="Calibri" w:hAnsi="Times New Roman" w:cs="Times New Roman"/>
          <w:bCs/>
          <w:sz w:val="28"/>
          <w:szCs w:val="28"/>
        </w:rPr>
      </w:pPr>
    </w:p>
    <w:p w:rsidR="00D81FF3" w:rsidRPr="00D81FF3" w:rsidRDefault="00D81FF3" w:rsidP="00D81FF3">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r w:rsidRPr="00D81FF3">
        <w:rPr>
          <w:rFonts w:ascii="Times New Roman" w:eastAsia="Times New Roman" w:hAnsi="Times New Roman" w:cs="Times New Roman"/>
          <w:b/>
          <w:bCs/>
          <w:sz w:val="28"/>
          <w:szCs w:val="28"/>
          <w:lang w:eastAsia="ru-RU"/>
        </w:rPr>
        <w:t>ухвалила:</w:t>
      </w:r>
    </w:p>
    <w:p w:rsidR="00D81FF3" w:rsidRPr="00D81FF3" w:rsidRDefault="00D81FF3" w:rsidP="00D81FF3">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p>
    <w:p w:rsidR="00E47A53" w:rsidRDefault="00D81FF3" w:rsidP="00D81FF3">
      <w:pPr>
        <w:widowControl w:val="0"/>
        <w:autoSpaceDN w:val="0"/>
        <w:spacing w:after="0" w:line="240" w:lineRule="auto"/>
        <w:jc w:val="both"/>
        <w:rPr>
          <w:rFonts w:ascii="Times New Roman" w:eastAsia="Times New Roman" w:hAnsi="Times New Roman" w:cs="Times New Roman"/>
          <w:sz w:val="28"/>
          <w:szCs w:val="28"/>
          <w:lang w:eastAsia="ru-RU"/>
        </w:rPr>
      </w:pPr>
      <w:r w:rsidRPr="00D81FF3">
        <w:rPr>
          <w:rFonts w:ascii="Times New Roman" w:eastAsia="Times New Roman" w:hAnsi="Times New Roman" w:cs="Times New Roman"/>
          <w:sz w:val="28"/>
          <w:szCs w:val="28"/>
          <w:lang w:eastAsia="ru-RU"/>
        </w:rPr>
        <w:t xml:space="preserve">відкрити дисциплінарну справу стосовно судді </w:t>
      </w:r>
      <w:r w:rsidR="00E47A53">
        <w:rPr>
          <w:rFonts w:ascii="Times New Roman" w:eastAsia="Times New Roman" w:hAnsi="Times New Roman" w:cs="Times New Roman"/>
          <w:sz w:val="28"/>
          <w:szCs w:val="28"/>
          <w:lang w:eastAsia="ru-RU"/>
        </w:rPr>
        <w:t xml:space="preserve">Рівненського міського суду Рівненської області Рогозіна Святослава Вікторовича. </w:t>
      </w:r>
    </w:p>
    <w:p w:rsidR="00D81FF3" w:rsidRPr="00D81FF3" w:rsidRDefault="00D81FF3" w:rsidP="00D81FF3">
      <w:pPr>
        <w:widowControl w:val="0"/>
        <w:shd w:val="clear" w:color="auto" w:fill="FFFFFF"/>
        <w:spacing w:after="0" w:line="302" w:lineRule="exact"/>
        <w:ind w:firstLine="567"/>
        <w:jc w:val="both"/>
        <w:rPr>
          <w:rFonts w:ascii="Times New Roman" w:eastAsia="Times New Roman" w:hAnsi="Times New Roman" w:cs="Times New Roman"/>
          <w:spacing w:val="7"/>
          <w:sz w:val="28"/>
          <w:szCs w:val="28"/>
        </w:rPr>
      </w:pPr>
      <w:r w:rsidRPr="00D81FF3">
        <w:rPr>
          <w:rFonts w:ascii="Times New Roman" w:eastAsia="Times New Roman" w:hAnsi="Times New Roman" w:cs="Times New Roman"/>
          <w:spacing w:val="7"/>
          <w:sz w:val="28"/>
          <w:szCs w:val="28"/>
        </w:rPr>
        <w:t xml:space="preserve">Ухвала оскарженню не підлягає. </w:t>
      </w:r>
    </w:p>
    <w:p w:rsidR="00D81FF3" w:rsidRPr="00D81FF3" w:rsidRDefault="00D81FF3" w:rsidP="00D81FF3">
      <w:pPr>
        <w:autoSpaceDN w:val="0"/>
        <w:spacing w:after="0" w:line="240" w:lineRule="auto"/>
        <w:rPr>
          <w:rFonts w:ascii="Times New Roman" w:eastAsia="Calibri" w:hAnsi="Times New Roman" w:cs="Times New Roman"/>
          <w:b/>
          <w:sz w:val="28"/>
          <w:szCs w:val="28"/>
        </w:rPr>
      </w:pPr>
    </w:p>
    <w:p w:rsidR="00937389" w:rsidRDefault="00937389" w:rsidP="00D81FF3">
      <w:pPr>
        <w:autoSpaceDN w:val="0"/>
        <w:spacing w:after="0" w:line="240" w:lineRule="auto"/>
        <w:rPr>
          <w:rFonts w:ascii="Times New Roman" w:eastAsia="Calibri" w:hAnsi="Times New Roman" w:cs="Times New Roman"/>
          <w:b/>
          <w:sz w:val="28"/>
          <w:szCs w:val="28"/>
        </w:rPr>
      </w:pPr>
    </w:p>
    <w:p w:rsidR="00632411" w:rsidRDefault="00632411" w:rsidP="00D81FF3">
      <w:pPr>
        <w:autoSpaceDN w:val="0"/>
        <w:spacing w:after="0" w:line="240" w:lineRule="auto"/>
        <w:rPr>
          <w:rFonts w:ascii="Times New Roman" w:eastAsia="Calibri" w:hAnsi="Times New Roman" w:cs="Times New Roman"/>
          <w:b/>
          <w:sz w:val="28"/>
          <w:szCs w:val="28"/>
        </w:rPr>
      </w:pPr>
    </w:p>
    <w:p w:rsidR="00D81FF3" w:rsidRPr="00D81FF3" w:rsidRDefault="00D81FF3" w:rsidP="00D81FF3">
      <w:pPr>
        <w:autoSpaceDN w:val="0"/>
        <w:spacing w:after="0" w:line="240" w:lineRule="auto"/>
        <w:rPr>
          <w:rFonts w:ascii="Times New Roman" w:eastAsia="Calibri" w:hAnsi="Times New Roman" w:cs="Times New Roman"/>
          <w:b/>
          <w:sz w:val="28"/>
          <w:szCs w:val="28"/>
        </w:rPr>
      </w:pPr>
      <w:r w:rsidRPr="00D81FF3">
        <w:rPr>
          <w:rFonts w:ascii="Times New Roman" w:eastAsia="Calibri" w:hAnsi="Times New Roman" w:cs="Times New Roman"/>
          <w:b/>
          <w:sz w:val="28"/>
          <w:szCs w:val="28"/>
        </w:rPr>
        <w:t xml:space="preserve">Головуючий на засіданні </w:t>
      </w:r>
    </w:p>
    <w:p w:rsidR="00D81FF3" w:rsidRPr="00D81FF3" w:rsidRDefault="00D81FF3" w:rsidP="00D81FF3">
      <w:pPr>
        <w:autoSpaceDN w:val="0"/>
        <w:spacing w:after="0" w:line="240" w:lineRule="auto"/>
        <w:rPr>
          <w:rFonts w:ascii="Times New Roman" w:eastAsia="Calibri" w:hAnsi="Times New Roman" w:cs="Times New Roman"/>
          <w:b/>
          <w:sz w:val="28"/>
          <w:szCs w:val="28"/>
        </w:rPr>
      </w:pPr>
      <w:r w:rsidRPr="00D81FF3">
        <w:rPr>
          <w:rFonts w:ascii="Times New Roman" w:eastAsia="Calibri" w:hAnsi="Times New Roman" w:cs="Times New Roman"/>
          <w:b/>
          <w:sz w:val="28"/>
          <w:szCs w:val="28"/>
        </w:rPr>
        <w:t xml:space="preserve">Другої Дисциплінарної палати </w:t>
      </w:r>
    </w:p>
    <w:p w:rsidR="00D81FF3" w:rsidRPr="00D81FF3" w:rsidRDefault="0005007D" w:rsidP="00D81FF3">
      <w:pPr>
        <w:autoSpaceDN w:val="0"/>
        <w:spacing w:after="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Вищої ради правосуддя</w:t>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sidR="00D81FF3" w:rsidRPr="00D81FF3">
        <w:rPr>
          <w:rFonts w:ascii="Times New Roman" w:eastAsia="Calibri" w:hAnsi="Times New Roman" w:cs="Times New Roman"/>
          <w:b/>
          <w:sz w:val="28"/>
          <w:szCs w:val="28"/>
        </w:rPr>
        <w:t>Роман МАСЕЛКО</w:t>
      </w:r>
    </w:p>
    <w:p w:rsidR="00D81FF3" w:rsidRPr="00D81FF3" w:rsidRDefault="00D81FF3" w:rsidP="00D81FF3">
      <w:pPr>
        <w:autoSpaceDN w:val="0"/>
        <w:spacing w:after="0" w:line="240" w:lineRule="auto"/>
        <w:rPr>
          <w:rFonts w:ascii="Times New Roman" w:eastAsia="Calibri" w:hAnsi="Times New Roman" w:cs="Times New Roman"/>
          <w:b/>
          <w:sz w:val="28"/>
          <w:szCs w:val="28"/>
        </w:rPr>
      </w:pPr>
    </w:p>
    <w:p w:rsidR="00D81FF3" w:rsidRPr="00D81FF3" w:rsidRDefault="00D81FF3" w:rsidP="00D81FF3">
      <w:pPr>
        <w:autoSpaceDN w:val="0"/>
        <w:spacing w:after="0" w:line="240" w:lineRule="auto"/>
        <w:rPr>
          <w:rFonts w:ascii="Times New Roman" w:eastAsia="Calibri" w:hAnsi="Times New Roman" w:cs="Times New Roman"/>
          <w:b/>
          <w:sz w:val="28"/>
          <w:szCs w:val="28"/>
        </w:rPr>
      </w:pPr>
    </w:p>
    <w:p w:rsidR="00D81FF3" w:rsidRPr="00D81FF3" w:rsidRDefault="00D81FF3" w:rsidP="00D81FF3">
      <w:pPr>
        <w:tabs>
          <w:tab w:val="left" w:pos="7670"/>
        </w:tabs>
        <w:autoSpaceDN w:val="0"/>
        <w:spacing w:after="0" w:line="240" w:lineRule="auto"/>
        <w:rPr>
          <w:rFonts w:ascii="Times New Roman" w:eastAsia="Calibri" w:hAnsi="Times New Roman" w:cs="Times New Roman"/>
          <w:b/>
          <w:sz w:val="28"/>
          <w:szCs w:val="28"/>
        </w:rPr>
      </w:pPr>
      <w:r w:rsidRPr="00D81FF3">
        <w:rPr>
          <w:rFonts w:ascii="Times New Roman" w:eastAsia="Calibri" w:hAnsi="Times New Roman" w:cs="Times New Roman"/>
          <w:b/>
          <w:sz w:val="28"/>
          <w:szCs w:val="28"/>
        </w:rPr>
        <w:t xml:space="preserve">Члени Другої Дисциплінарної </w:t>
      </w:r>
      <w:r w:rsidRPr="00D81FF3">
        <w:rPr>
          <w:rFonts w:ascii="Times New Roman" w:eastAsia="Calibri" w:hAnsi="Times New Roman" w:cs="Times New Roman"/>
          <w:b/>
          <w:sz w:val="28"/>
          <w:szCs w:val="28"/>
        </w:rPr>
        <w:tab/>
      </w:r>
    </w:p>
    <w:p w:rsidR="00D81FF3" w:rsidRPr="00D81FF3" w:rsidRDefault="00D81FF3" w:rsidP="00B17279">
      <w:pPr>
        <w:autoSpaceDN w:val="0"/>
        <w:spacing w:after="60" w:line="240" w:lineRule="auto"/>
        <w:rPr>
          <w:rFonts w:ascii="Times New Roman" w:eastAsia="Calibri" w:hAnsi="Times New Roman" w:cs="Times New Roman"/>
          <w:b/>
          <w:sz w:val="28"/>
          <w:szCs w:val="28"/>
        </w:rPr>
      </w:pPr>
      <w:r w:rsidRPr="00D81FF3">
        <w:rPr>
          <w:rFonts w:ascii="Times New Roman" w:eastAsia="Calibri" w:hAnsi="Times New Roman" w:cs="Times New Roman"/>
          <w:b/>
          <w:sz w:val="28"/>
          <w:szCs w:val="28"/>
        </w:rPr>
        <w:t>п</w:t>
      </w:r>
      <w:r w:rsidR="0005007D">
        <w:rPr>
          <w:rFonts w:ascii="Times New Roman" w:eastAsia="Calibri" w:hAnsi="Times New Roman" w:cs="Times New Roman"/>
          <w:b/>
          <w:sz w:val="28"/>
          <w:szCs w:val="28"/>
        </w:rPr>
        <w:t xml:space="preserve">алати Вищої </w:t>
      </w:r>
      <w:r w:rsidR="00B17279">
        <w:rPr>
          <w:rFonts w:ascii="Times New Roman" w:eastAsia="Calibri" w:hAnsi="Times New Roman" w:cs="Times New Roman"/>
          <w:b/>
          <w:sz w:val="28"/>
          <w:szCs w:val="28"/>
        </w:rPr>
        <w:t>ради правосуддя</w:t>
      </w:r>
      <w:r w:rsidR="00B17279">
        <w:rPr>
          <w:rFonts w:ascii="Times New Roman" w:eastAsia="Calibri" w:hAnsi="Times New Roman" w:cs="Times New Roman"/>
          <w:b/>
          <w:sz w:val="28"/>
          <w:szCs w:val="28"/>
        </w:rPr>
        <w:tab/>
      </w:r>
      <w:r w:rsidR="00B17279">
        <w:rPr>
          <w:rFonts w:ascii="Times New Roman" w:eastAsia="Calibri" w:hAnsi="Times New Roman" w:cs="Times New Roman"/>
          <w:b/>
          <w:sz w:val="28"/>
          <w:szCs w:val="28"/>
        </w:rPr>
        <w:tab/>
      </w:r>
      <w:r w:rsidR="00B17279">
        <w:rPr>
          <w:rFonts w:ascii="Times New Roman" w:eastAsia="Calibri" w:hAnsi="Times New Roman" w:cs="Times New Roman"/>
          <w:b/>
          <w:sz w:val="28"/>
          <w:szCs w:val="28"/>
        </w:rPr>
        <w:tab/>
      </w:r>
      <w:r w:rsidR="00B17279">
        <w:rPr>
          <w:rFonts w:ascii="Times New Roman" w:eastAsia="Calibri" w:hAnsi="Times New Roman" w:cs="Times New Roman"/>
          <w:b/>
          <w:sz w:val="28"/>
          <w:szCs w:val="28"/>
        </w:rPr>
        <w:tab/>
      </w:r>
      <w:r w:rsidRPr="00D81FF3">
        <w:rPr>
          <w:rFonts w:ascii="Times New Roman" w:eastAsia="Calibri" w:hAnsi="Times New Roman" w:cs="Times New Roman"/>
          <w:b/>
          <w:sz w:val="28"/>
          <w:szCs w:val="28"/>
        </w:rPr>
        <w:t>Олена КОВБІЙ</w:t>
      </w:r>
    </w:p>
    <w:p w:rsidR="00507113" w:rsidRDefault="00507113" w:rsidP="0031218A">
      <w:pPr>
        <w:autoSpaceDN w:val="0"/>
        <w:spacing w:after="220" w:line="240" w:lineRule="auto"/>
        <w:ind w:left="6373"/>
        <w:rPr>
          <w:rFonts w:ascii="Times New Roman" w:eastAsia="Calibri" w:hAnsi="Times New Roman" w:cs="Times New Roman"/>
          <w:b/>
          <w:sz w:val="28"/>
          <w:szCs w:val="28"/>
        </w:rPr>
      </w:pPr>
    </w:p>
    <w:p w:rsidR="00A629B6" w:rsidRDefault="00D81FF3" w:rsidP="0031218A">
      <w:pPr>
        <w:autoSpaceDN w:val="0"/>
        <w:spacing w:after="220" w:line="240" w:lineRule="auto"/>
        <w:ind w:left="6373"/>
      </w:pPr>
      <w:r w:rsidRPr="00D81FF3">
        <w:rPr>
          <w:rFonts w:ascii="Times New Roman" w:eastAsia="Calibri" w:hAnsi="Times New Roman" w:cs="Times New Roman"/>
          <w:b/>
          <w:sz w:val="28"/>
          <w:szCs w:val="28"/>
        </w:rPr>
        <w:t>Віталій САЛІХОВ</w:t>
      </w:r>
    </w:p>
    <w:sectPr w:rsidR="00A629B6" w:rsidSect="00326E3D">
      <w:headerReference w:type="default" r:id="rId7"/>
      <w:pgSz w:w="11906" w:h="16838"/>
      <w:pgMar w:top="851" w:right="849"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01A7" w:rsidRDefault="008C01A7">
      <w:pPr>
        <w:spacing w:after="0" w:line="240" w:lineRule="auto"/>
      </w:pPr>
      <w:r>
        <w:separator/>
      </w:r>
    </w:p>
  </w:endnote>
  <w:endnote w:type="continuationSeparator" w:id="0">
    <w:p w:rsidR="008C01A7" w:rsidRDefault="008C0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01A7" w:rsidRDefault="008C01A7">
      <w:pPr>
        <w:spacing w:after="0" w:line="240" w:lineRule="auto"/>
      </w:pPr>
      <w:r>
        <w:separator/>
      </w:r>
    </w:p>
  </w:footnote>
  <w:footnote w:type="continuationSeparator" w:id="0">
    <w:p w:rsidR="008C01A7" w:rsidRDefault="008C0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60D6" w:rsidRDefault="00175741">
    <w:pPr>
      <w:pStyle w:val="a3"/>
      <w:jc w:val="center"/>
    </w:pPr>
    <w:r>
      <w:fldChar w:fldCharType="begin"/>
    </w:r>
    <w:r w:rsidR="00D81FF3">
      <w:instrText xml:space="preserve"> PAGE   \* MERGEFORMAT </w:instrText>
    </w:r>
    <w:r>
      <w:fldChar w:fldCharType="separate"/>
    </w:r>
    <w:r w:rsidR="00DF5293">
      <w:rPr>
        <w:noProof/>
      </w:rPr>
      <w:t>6</w:t>
    </w:r>
    <w:r>
      <w:rPr>
        <w:noProof/>
      </w:rPr>
      <w:fldChar w:fldCharType="end"/>
    </w:r>
  </w:p>
  <w:p w:rsidR="00FD60D6" w:rsidRDefault="00DF529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C3134"/>
    <w:rsid w:val="0005007D"/>
    <w:rsid w:val="00155D3D"/>
    <w:rsid w:val="001751A9"/>
    <w:rsid w:val="00175741"/>
    <w:rsid w:val="00194E47"/>
    <w:rsid w:val="00210F1E"/>
    <w:rsid w:val="002E677E"/>
    <w:rsid w:val="00310F68"/>
    <w:rsid w:val="0031218A"/>
    <w:rsid w:val="00326E3D"/>
    <w:rsid w:val="00357DDD"/>
    <w:rsid w:val="003729DC"/>
    <w:rsid w:val="00391A7E"/>
    <w:rsid w:val="003C66C9"/>
    <w:rsid w:val="00466FF6"/>
    <w:rsid w:val="00497343"/>
    <w:rsid w:val="004D78A5"/>
    <w:rsid w:val="004E5D24"/>
    <w:rsid w:val="004E7656"/>
    <w:rsid w:val="00507113"/>
    <w:rsid w:val="00590509"/>
    <w:rsid w:val="005B0981"/>
    <w:rsid w:val="005C3134"/>
    <w:rsid w:val="005D51C3"/>
    <w:rsid w:val="00632411"/>
    <w:rsid w:val="006575F5"/>
    <w:rsid w:val="00681B78"/>
    <w:rsid w:val="006F6B76"/>
    <w:rsid w:val="00700507"/>
    <w:rsid w:val="00731B9B"/>
    <w:rsid w:val="007639DB"/>
    <w:rsid w:val="00861EBB"/>
    <w:rsid w:val="008770B2"/>
    <w:rsid w:val="008B3295"/>
    <w:rsid w:val="008C01A7"/>
    <w:rsid w:val="008C64B5"/>
    <w:rsid w:val="008D7F7C"/>
    <w:rsid w:val="008F51FE"/>
    <w:rsid w:val="00935966"/>
    <w:rsid w:val="00937389"/>
    <w:rsid w:val="0095189B"/>
    <w:rsid w:val="00981049"/>
    <w:rsid w:val="00A33EF9"/>
    <w:rsid w:val="00A60E99"/>
    <w:rsid w:val="00AA7475"/>
    <w:rsid w:val="00AC11C1"/>
    <w:rsid w:val="00AD2955"/>
    <w:rsid w:val="00B17279"/>
    <w:rsid w:val="00B17EAC"/>
    <w:rsid w:val="00BF02CB"/>
    <w:rsid w:val="00C3610A"/>
    <w:rsid w:val="00CF32F8"/>
    <w:rsid w:val="00D20D34"/>
    <w:rsid w:val="00D30DEA"/>
    <w:rsid w:val="00D407D1"/>
    <w:rsid w:val="00D428C7"/>
    <w:rsid w:val="00D55460"/>
    <w:rsid w:val="00D60EAC"/>
    <w:rsid w:val="00D81FF3"/>
    <w:rsid w:val="00DB74F7"/>
    <w:rsid w:val="00DE6283"/>
    <w:rsid w:val="00DF5293"/>
    <w:rsid w:val="00E045E9"/>
    <w:rsid w:val="00E36149"/>
    <w:rsid w:val="00E47A53"/>
    <w:rsid w:val="00F10EAB"/>
    <w:rsid w:val="00F301EC"/>
    <w:rsid w:val="00F347B0"/>
    <w:rsid w:val="00F74832"/>
    <w:rsid w:val="00FD594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B8500"/>
  <w15:docId w15:val="{92B06A15-1687-47BC-85A6-99F19D9FE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51F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81FF3"/>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D81FF3"/>
  </w:style>
  <w:style w:type="paragraph" w:styleId="a5">
    <w:name w:val="Balloon Text"/>
    <w:basedOn w:val="a"/>
    <w:link w:val="a6"/>
    <w:uiPriority w:val="99"/>
    <w:semiHidden/>
    <w:unhideWhenUsed/>
    <w:rsid w:val="007639DB"/>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7639DB"/>
    <w:rPr>
      <w:rFonts w:ascii="Segoe UI" w:hAnsi="Segoe UI" w:cs="Segoe UI"/>
      <w:sz w:val="18"/>
      <w:szCs w:val="18"/>
    </w:rPr>
  </w:style>
  <w:style w:type="character" w:customStyle="1" w:styleId="2">
    <w:name w:val="Основной текст (2)_"/>
    <w:link w:val="20"/>
    <w:locked/>
    <w:rsid w:val="006575F5"/>
    <w:rPr>
      <w:b/>
      <w:sz w:val="26"/>
      <w:shd w:val="clear" w:color="auto" w:fill="FFFFFF"/>
    </w:rPr>
  </w:style>
  <w:style w:type="paragraph" w:customStyle="1" w:styleId="20">
    <w:name w:val="Основной текст (2)"/>
    <w:basedOn w:val="a"/>
    <w:link w:val="2"/>
    <w:rsid w:val="006575F5"/>
    <w:pPr>
      <w:widowControl w:val="0"/>
      <w:shd w:val="clear" w:color="auto" w:fill="FFFFFF"/>
      <w:autoSpaceDN w:val="0"/>
      <w:spacing w:after="1020" w:line="240" w:lineRule="atLeast"/>
      <w:jc w:val="center"/>
    </w:pPr>
    <w:rPr>
      <w:b/>
      <w:sz w:val="26"/>
    </w:rPr>
  </w:style>
  <w:style w:type="character" w:styleId="a7">
    <w:name w:val="Hyperlink"/>
    <w:basedOn w:val="a0"/>
    <w:uiPriority w:val="99"/>
    <w:unhideWhenUsed/>
    <w:rsid w:val="008770B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10</Pages>
  <Words>17410</Words>
  <Characters>9925</Characters>
  <Application>Microsoft Office Word</Application>
  <DocSecurity>0</DocSecurity>
  <Lines>82</Lines>
  <Paragraphs>54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Олена Торута (HCJ-DELL0298 - o.toruta)</dc:creator>
  <cp:lastModifiedBy>Оксана Костанян (HCJ-IMP0472 - o.kostanyan)</cp:lastModifiedBy>
  <cp:revision>3</cp:revision>
  <cp:lastPrinted>2024-02-15T07:29:00Z</cp:lastPrinted>
  <dcterms:created xsi:type="dcterms:W3CDTF">2024-08-08T08:59:00Z</dcterms:created>
  <dcterms:modified xsi:type="dcterms:W3CDTF">2024-08-08T09:57:00Z</dcterms:modified>
</cp:coreProperties>
</file>