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D9F6B1" w14:textId="77777777" w:rsidR="00023602" w:rsidRDefault="00023602" w:rsidP="00023602">
      <w:pPr>
        <w:ind w:right="113"/>
        <w:jc w:val="center"/>
        <w:rPr>
          <w:noProof/>
        </w:rPr>
      </w:pPr>
      <w:r w:rsidRPr="00AA1F03">
        <w:rPr>
          <w:noProof/>
          <w:sz w:val="16"/>
          <w:lang w:val="ru-RU" w:eastAsia="ru-RU"/>
        </w:rPr>
        <mc:AlternateContent>
          <mc:Choice Requires="wps">
            <w:drawing>
              <wp:anchor distT="0" distB="0" distL="114300" distR="114300" simplePos="0" relativeHeight="251659264" behindDoc="0" locked="0" layoutInCell="1" allowOverlap="1" wp14:anchorId="75655B22" wp14:editId="4C661C9D">
                <wp:simplePos x="0" y="0"/>
                <wp:positionH relativeFrom="column">
                  <wp:posOffset>5224780</wp:posOffset>
                </wp:positionH>
                <wp:positionV relativeFrom="paragraph">
                  <wp:posOffset>-228600</wp:posOffset>
                </wp:positionV>
                <wp:extent cx="831215" cy="2286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3FFA8F" w14:textId="77777777" w:rsidR="00F155DF" w:rsidRPr="00CB579E" w:rsidRDefault="00F155DF" w:rsidP="00023602">
                            <w:pPr>
                              <w:rPr>
                                <w:b/>
                                <w:u w:val="single"/>
                              </w:rPr>
                            </w:pP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655B22" id="_x0000_t202" coordsize="21600,21600" o:spt="202" path="m,l,21600r21600,l21600,xe">
                <v:stroke joinstyle="miter"/>
                <v:path gradientshapeok="t" o:connecttype="rect"/>
              </v:shapetype>
              <v:shape id="Поле 1" o:spid="_x0000_s1026" type="#_x0000_t202" style="position:absolute;left:0;text-align:left;margin-left:411.4pt;margin-top:-18pt;width:65.4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" stroked="f">
                <v:textbox inset=".5mm,.3mm,.5mm,.3mm">
                  <w:txbxContent>
                    <w:p w14:paraId="613FFA8F" w14:textId="77777777" w:rsidR="00F155DF" w:rsidRPr="00CB579E" w:rsidRDefault="00F155DF" w:rsidP="00023602">
                      <w:pPr>
                        <w:rPr>
                          <w:b/>
                          <w:u w:val="single"/>
                        </w:rPr>
                      </w:pPr>
                    </w:p>
                  </w:txbxContent>
                </v:textbox>
              </v:shape>
            </w:pict>
          </mc:Fallback>
        </mc:AlternateContent>
      </w:r>
      <w:r w:rsidRPr="00AA1F03">
        <w:rPr>
          <w:noProof/>
        </w:rPr>
        <w:object w:dxaOrig="6241" w:dyaOrig="8401" w14:anchorId="20D8B6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7.25pt" o:ole="">
            <v:imagedata r:id="rId8" o:title=""/>
          </v:shape>
          <o:OLEObject Type="Embed" ProgID="MSDraw" ShapeID="_x0000_i1025" DrawAspect="Content" ObjectID="_1738508466" r:id="rId9">
            <o:FieldCodes>\* MERGEFORMAT</o:FieldCodes>
          </o:OLEObject>
        </w:object>
      </w:r>
    </w:p>
    <w:p w14:paraId="19D9C5EF" w14:textId="77777777" w:rsidR="00023602" w:rsidRPr="008F726D" w:rsidRDefault="00023602" w:rsidP="00023602">
      <w:pPr>
        <w:ind w:right="113"/>
        <w:jc w:val="center"/>
        <w:rPr>
          <w:sz w:val="16"/>
          <w:szCs w:val="16"/>
        </w:rPr>
      </w:pPr>
    </w:p>
    <w:p w14:paraId="528B2F4D" w14:textId="77777777" w:rsidR="00023602" w:rsidRPr="00AA1F03" w:rsidRDefault="00023602" w:rsidP="00023602">
      <w:pPr>
        <w:jc w:val="center"/>
        <w:rPr>
          <w:b/>
          <w:sz w:val="32"/>
          <w:szCs w:val="32"/>
        </w:rPr>
      </w:pPr>
      <w:r w:rsidRPr="00AA1F03">
        <w:rPr>
          <w:b/>
          <w:sz w:val="32"/>
          <w:szCs w:val="32"/>
        </w:rPr>
        <w:t>АНТИМОНОПОЛЬНИЙ   КОМІТЕТ   УКРАЇНИ</w:t>
      </w:r>
    </w:p>
    <w:p w14:paraId="40A26FC5" w14:textId="77777777" w:rsidR="00023602" w:rsidRPr="003578C3" w:rsidRDefault="00023602" w:rsidP="00023602">
      <w:pPr>
        <w:jc w:val="center"/>
        <w:rPr>
          <w:b/>
          <w:sz w:val="28"/>
          <w:szCs w:val="28"/>
        </w:rPr>
      </w:pPr>
    </w:p>
    <w:p w14:paraId="32A6A764" w14:textId="77777777" w:rsidR="00023602" w:rsidRPr="00AA1F03" w:rsidRDefault="00023602" w:rsidP="00023602">
      <w:pPr>
        <w:tabs>
          <w:tab w:val="left" w:leader="hyphen" w:pos="10206"/>
        </w:tabs>
        <w:jc w:val="center"/>
        <w:rPr>
          <w:b/>
          <w:sz w:val="32"/>
          <w:szCs w:val="32"/>
        </w:rPr>
      </w:pPr>
      <w:r w:rsidRPr="00AA1F03">
        <w:rPr>
          <w:b/>
          <w:sz w:val="32"/>
          <w:szCs w:val="32"/>
        </w:rPr>
        <w:t>РЕКОМЕНДАЦІЇ</w:t>
      </w:r>
    </w:p>
    <w:p w14:paraId="3E708477" w14:textId="77777777" w:rsidR="00023602" w:rsidRPr="003578C3" w:rsidRDefault="00023602" w:rsidP="00023602">
      <w:pPr>
        <w:rPr>
          <w:sz w:val="28"/>
          <w:szCs w:val="28"/>
        </w:rPr>
      </w:pPr>
    </w:p>
    <w:p w14:paraId="15B5E9D4" w14:textId="307828E0" w:rsidR="00023602" w:rsidRPr="00AA1F03" w:rsidRDefault="00FC148C" w:rsidP="00023602">
      <w:pPr>
        <w:tabs>
          <w:tab w:val="left" w:pos="4862"/>
        </w:tabs>
        <w:rPr>
          <w:sz w:val="20"/>
          <w:szCs w:val="20"/>
        </w:rPr>
      </w:pPr>
      <w:r>
        <w:t xml:space="preserve">   09.02.</w:t>
      </w:r>
      <w:r w:rsidR="00023602" w:rsidRPr="00AA1F03">
        <w:t>202</w:t>
      </w:r>
      <w:r w:rsidR="007A1649">
        <w:t>3</w:t>
      </w:r>
      <w:r w:rsidR="00023602" w:rsidRPr="00AA1F03">
        <w:t xml:space="preserve"> р.                                          </w:t>
      </w:r>
      <w:r>
        <w:t xml:space="preserve">        </w:t>
      </w:r>
      <w:r w:rsidR="00023602" w:rsidRPr="00AA1F03">
        <w:t xml:space="preserve">  Київ                             </w:t>
      </w:r>
      <w:r w:rsidR="00023602">
        <w:t xml:space="preserve">  </w:t>
      </w:r>
      <w:r>
        <w:t xml:space="preserve">        </w:t>
      </w:r>
      <w:r w:rsidR="00023602">
        <w:t xml:space="preserve">         </w:t>
      </w:r>
      <w:r w:rsidR="00023602" w:rsidRPr="00AA1F03">
        <w:t xml:space="preserve">№ </w:t>
      </w:r>
      <w:r>
        <w:t>1-рк</w:t>
      </w:r>
    </w:p>
    <w:p w14:paraId="49E12DEB" w14:textId="77777777" w:rsidR="002C7C21" w:rsidRDefault="002C7C21" w:rsidP="00023602">
      <w:pPr>
        <w:shd w:val="clear" w:color="auto" w:fill="FFFFFF"/>
        <w:outlineLvl w:val="0"/>
      </w:pPr>
    </w:p>
    <w:p w14:paraId="37F6EC72" w14:textId="77777777" w:rsidR="00023602" w:rsidRPr="00EB48DB" w:rsidRDefault="00023602" w:rsidP="00023602">
      <w:pPr>
        <w:shd w:val="clear" w:color="auto" w:fill="FFFFFF"/>
        <w:outlineLvl w:val="0"/>
        <w:rPr>
          <w:lang w:val="ru-RU"/>
        </w:rPr>
      </w:pPr>
    </w:p>
    <w:p w14:paraId="5798DF52" w14:textId="1ED2C9A1" w:rsidR="00023602" w:rsidRDefault="00023602" w:rsidP="007417EE">
      <w:pPr>
        <w:shd w:val="clear" w:color="auto" w:fill="FFFFFF"/>
        <w:outlineLvl w:val="0"/>
        <w:rPr>
          <w:spacing w:val="-7"/>
          <w:sz w:val="20"/>
          <w:szCs w:val="20"/>
        </w:rPr>
      </w:pPr>
      <w:r>
        <w:t xml:space="preserve">Про </w:t>
      </w:r>
      <w:r w:rsidR="007417EE">
        <w:t xml:space="preserve">здійснення заходів, </w:t>
      </w:r>
      <w:r w:rsidR="00B61D3C">
        <w:t xml:space="preserve">спрямованих </w:t>
      </w:r>
      <w:r w:rsidR="007417EE">
        <w:br/>
        <w:t xml:space="preserve">на розвиток конкуренції, </w:t>
      </w:r>
      <w:bookmarkStart w:id="0" w:name="_Hlk125976042"/>
      <w:r w:rsidR="007417EE">
        <w:t xml:space="preserve">запобігання </w:t>
      </w:r>
      <w:r w:rsidR="007417EE">
        <w:br/>
      </w:r>
      <w:r w:rsidR="00F40632">
        <w:t xml:space="preserve">порушенням </w:t>
      </w:r>
      <w:r w:rsidR="007417EE">
        <w:t xml:space="preserve">законодавства про захист </w:t>
      </w:r>
      <w:r w:rsidR="007417EE">
        <w:br/>
        <w:t xml:space="preserve">економічної конкуренції, припинення дій, </w:t>
      </w:r>
      <w:r w:rsidR="007417EE">
        <w:br/>
        <w:t>які можуть мати негативний вплив на конкуренцію</w:t>
      </w:r>
      <w:bookmarkEnd w:id="0"/>
      <w:r w:rsidR="007417EE">
        <w:br/>
      </w:r>
    </w:p>
    <w:p w14:paraId="5B44CE50" w14:textId="77777777" w:rsidR="002C7C21" w:rsidRPr="00AA1F03" w:rsidRDefault="002C7C21" w:rsidP="007417EE">
      <w:pPr>
        <w:shd w:val="clear" w:color="auto" w:fill="FFFFFF"/>
        <w:outlineLvl w:val="0"/>
        <w:rPr>
          <w:spacing w:val="-7"/>
          <w:sz w:val="20"/>
          <w:szCs w:val="20"/>
        </w:rPr>
      </w:pPr>
    </w:p>
    <w:p w14:paraId="1EBC4294" w14:textId="02315DAA" w:rsidR="00023602" w:rsidRPr="007417EE" w:rsidRDefault="00023602" w:rsidP="007417EE">
      <w:pPr>
        <w:overflowPunct w:val="0"/>
        <w:autoSpaceDE w:val="0"/>
        <w:autoSpaceDN w:val="0"/>
        <w:adjustRightInd w:val="0"/>
        <w:spacing w:before="120"/>
        <w:ind w:firstLine="567"/>
        <w:jc w:val="both"/>
        <w:textAlignment w:val="baseline"/>
      </w:pPr>
      <w:r>
        <w:t>Антимонопольний комітет України (далі – Комітет) за результатами</w:t>
      </w:r>
      <w:r w:rsidRPr="00023602">
        <w:t xml:space="preserve"> </w:t>
      </w:r>
      <w:r w:rsidR="007417EE">
        <w:t xml:space="preserve">розгляду </w:t>
      </w:r>
      <w:r w:rsidR="002C7C21">
        <w:t xml:space="preserve">подання </w:t>
      </w:r>
      <w:r w:rsidR="002C7C21" w:rsidRPr="00D678AA">
        <w:rPr>
          <w:color w:val="000000" w:themeColor="text1"/>
        </w:rPr>
        <w:t>Департамент</w:t>
      </w:r>
      <w:r w:rsidR="002C7C21">
        <w:rPr>
          <w:color w:val="000000" w:themeColor="text1"/>
        </w:rPr>
        <w:t>у</w:t>
      </w:r>
      <w:r w:rsidR="002C7C21" w:rsidRPr="00D678AA">
        <w:rPr>
          <w:color w:val="000000" w:themeColor="text1"/>
        </w:rPr>
        <w:t xml:space="preserve"> досліджень і розслідувань ринків паливно-енергетичного комплексу та житлово-комунального господарства</w:t>
      </w:r>
      <w:r w:rsidR="002C7C21">
        <w:t xml:space="preserve"> від </w:t>
      </w:r>
      <w:r w:rsidR="00DA0187">
        <w:t>09</w:t>
      </w:r>
      <w:r w:rsidR="002C7C21">
        <w:t>.</w:t>
      </w:r>
      <w:r w:rsidR="00DA0187">
        <w:t>02</w:t>
      </w:r>
      <w:r w:rsidR="002C7C21">
        <w:t>.</w:t>
      </w:r>
      <w:r w:rsidR="00DA0187">
        <w:t>2023</w:t>
      </w:r>
      <w:r w:rsidR="002C7C21">
        <w:t xml:space="preserve"> № 128-09/</w:t>
      </w:r>
      <w:r w:rsidR="00DA0187">
        <w:t>22-п</w:t>
      </w:r>
      <w:r w:rsidR="002C7C21">
        <w:t xml:space="preserve"> </w:t>
      </w:r>
      <w:r>
        <w:t>надає</w:t>
      </w:r>
      <w:r w:rsidRPr="00023602">
        <w:t xml:space="preserve"> </w:t>
      </w:r>
      <w:r w:rsidR="002C7C21">
        <w:t xml:space="preserve"> т</w:t>
      </w:r>
      <w:r>
        <w:t>овариству</w:t>
      </w:r>
      <w:r w:rsidR="002C7C21">
        <w:t xml:space="preserve"> з обмеженою відповідальністю «ЮТІЛІТІ ТРЕЙДІНГ» (далі – </w:t>
      </w:r>
      <w:r w:rsidR="00B61D3C">
        <w:t xml:space="preserve">ТОВ «ЮТІЛІТІ ТРЕЙДІНГ», </w:t>
      </w:r>
      <w:r w:rsidR="002C7C21">
        <w:t>Товариство)</w:t>
      </w:r>
      <w:r>
        <w:t xml:space="preserve"> р</w:t>
      </w:r>
      <w:r w:rsidRPr="00AA1F03">
        <w:t xml:space="preserve">екомендації </w:t>
      </w:r>
      <w:r>
        <w:t>в</w:t>
      </w:r>
      <w:r w:rsidRPr="00AA1F03">
        <w:t xml:space="preserve"> порядку, передбаченому</w:t>
      </w:r>
      <w:r w:rsidR="007417EE">
        <w:t xml:space="preserve"> пунктом 5 частини</w:t>
      </w:r>
      <w:r w:rsidR="00EB48DB" w:rsidRPr="00EB48DB">
        <w:t xml:space="preserve"> третьо</w:t>
      </w:r>
      <w:r w:rsidR="00EB48DB">
        <w:t xml:space="preserve">ї </w:t>
      </w:r>
      <w:r w:rsidRPr="00AA1F03">
        <w:t>статт</w:t>
      </w:r>
      <w:r w:rsidR="007417EE">
        <w:t>і</w:t>
      </w:r>
      <w:r w:rsidRPr="00AA1F03">
        <w:t xml:space="preserve"> </w:t>
      </w:r>
      <w:r w:rsidR="00131057" w:rsidRPr="00131057">
        <w:t>7</w:t>
      </w:r>
      <w:r w:rsidRPr="00AA1F03">
        <w:t xml:space="preserve"> Закону України «</w:t>
      </w:r>
      <w:r>
        <w:t>Про</w:t>
      </w:r>
      <w:r w:rsidR="00131057" w:rsidRPr="00131057">
        <w:t xml:space="preserve"> Антимонопольний ком</w:t>
      </w:r>
      <w:r w:rsidR="00131057">
        <w:t>ітет України</w:t>
      </w:r>
      <w:r w:rsidRPr="00AA1F03">
        <w:t>»,</w:t>
      </w:r>
      <w:r>
        <w:t xml:space="preserve"> </w:t>
      </w:r>
      <w:r w:rsidR="00B61D3C">
        <w:t xml:space="preserve">щодо </w:t>
      </w:r>
      <w:r w:rsidR="007417EE" w:rsidRPr="007417EE">
        <w:t xml:space="preserve">здійснення заходів, </w:t>
      </w:r>
      <w:r w:rsidR="00B61D3C">
        <w:t xml:space="preserve">спрямованих </w:t>
      </w:r>
      <w:r w:rsidR="007417EE" w:rsidRPr="007417EE">
        <w:t>на розвиток конкуренції, запобігання</w:t>
      </w:r>
      <w:r w:rsidR="007417EE">
        <w:t xml:space="preserve"> </w:t>
      </w:r>
      <w:r w:rsidR="0010402B" w:rsidRPr="007417EE">
        <w:t>порушен</w:t>
      </w:r>
      <w:r w:rsidR="0010402B">
        <w:t>ням</w:t>
      </w:r>
      <w:r w:rsidR="0010402B" w:rsidRPr="007417EE">
        <w:t xml:space="preserve"> </w:t>
      </w:r>
      <w:r w:rsidR="007417EE" w:rsidRPr="007417EE">
        <w:t>законодавства про захист</w:t>
      </w:r>
      <w:r w:rsidR="007417EE">
        <w:t xml:space="preserve"> </w:t>
      </w:r>
      <w:r w:rsidR="007417EE" w:rsidRPr="007417EE">
        <w:t>економічної конкуренції, припинення дій,</w:t>
      </w:r>
      <w:r w:rsidR="007417EE">
        <w:t xml:space="preserve"> </w:t>
      </w:r>
      <w:r w:rsidR="007417EE" w:rsidRPr="007417EE">
        <w:t>які можуть мати негативний вплив на конкуренцію</w:t>
      </w:r>
      <w:r w:rsidR="00EB48DB">
        <w:t>.</w:t>
      </w:r>
    </w:p>
    <w:p w14:paraId="5108E236" w14:textId="77777777" w:rsidR="002C7C21" w:rsidRDefault="002C7C21" w:rsidP="00F67FA3">
      <w:pPr>
        <w:overflowPunct w:val="0"/>
        <w:autoSpaceDE w:val="0"/>
        <w:autoSpaceDN w:val="0"/>
        <w:adjustRightInd w:val="0"/>
        <w:spacing w:before="120"/>
        <w:jc w:val="both"/>
        <w:textAlignment w:val="baseline"/>
        <w:rPr>
          <w:color w:val="000000"/>
        </w:rPr>
      </w:pPr>
    </w:p>
    <w:p w14:paraId="03CB0781" w14:textId="23B45CA7" w:rsidR="00023602" w:rsidRPr="00E5711F" w:rsidRDefault="00FB073B" w:rsidP="00E5711F">
      <w:pPr>
        <w:pStyle w:val="aa"/>
        <w:numPr>
          <w:ilvl w:val="0"/>
          <w:numId w:val="4"/>
        </w:numPr>
        <w:tabs>
          <w:tab w:val="left" w:pos="851"/>
        </w:tabs>
        <w:overflowPunct w:val="0"/>
        <w:autoSpaceDE w:val="0"/>
        <w:autoSpaceDN w:val="0"/>
        <w:adjustRightInd w:val="0"/>
        <w:spacing w:after="120"/>
        <w:ind w:left="567" w:hanging="567"/>
        <w:contextualSpacing w:val="0"/>
        <w:textAlignment w:val="baseline"/>
        <w:rPr>
          <w:rFonts w:ascii="Times New Roman" w:hAnsi="Times New Roman"/>
          <w:b/>
          <w:sz w:val="24"/>
        </w:rPr>
      </w:pPr>
      <w:r w:rsidRPr="00E5711F">
        <w:rPr>
          <w:rFonts w:ascii="Times New Roman" w:hAnsi="Times New Roman"/>
          <w:b/>
          <w:sz w:val="24"/>
        </w:rPr>
        <w:t xml:space="preserve">СУБ’ЄКТ ГОСПОДАРЮВАННЯ, </w:t>
      </w:r>
      <w:r w:rsidR="00D9771E">
        <w:rPr>
          <w:rFonts w:ascii="Times New Roman" w:hAnsi="Times New Roman"/>
          <w:b/>
          <w:sz w:val="24"/>
          <w:lang w:val="uk-UA"/>
        </w:rPr>
        <w:t>ЯКОМУ НАДАЮТЬСЯ РЕКОМЕНДАЦІЇ</w:t>
      </w:r>
    </w:p>
    <w:p w14:paraId="1EEBA061" w14:textId="3A0AFE07" w:rsidR="00FB073B" w:rsidRPr="00FB073B" w:rsidRDefault="00B61D3C" w:rsidP="00FB073B">
      <w:pPr>
        <w:pStyle w:val="aa"/>
        <w:numPr>
          <w:ilvl w:val="0"/>
          <w:numId w:val="1"/>
        </w:numPr>
        <w:tabs>
          <w:tab w:val="clear" w:pos="360"/>
          <w:tab w:val="num" w:pos="567"/>
        </w:tabs>
        <w:overflowPunct w:val="0"/>
        <w:autoSpaceDE w:val="0"/>
        <w:autoSpaceDN w:val="0"/>
        <w:adjustRightInd w:val="0"/>
        <w:spacing w:before="120" w:after="120"/>
        <w:ind w:left="567" w:hanging="567"/>
        <w:contextualSpacing w:val="0"/>
        <w:textAlignment w:val="baseline"/>
        <w:rPr>
          <w:rFonts w:ascii="Times New Roman" w:hAnsi="Times New Roman"/>
          <w:sz w:val="24"/>
          <w:szCs w:val="24"/>
          <w:lang w:val="uk-UA"/>
        </w:rPr>
      </w:pPr>
      <w:r>
        <w:rPr>
          <w:rFonts w:ascii="Times New Roman" w:hAnsi="Times New Roman"/>
          <w:sz w:val="24"/>
          <w:szCs w:val="24"/>
          <w:lang w:val="uk-UA"/>
        </w:rPr>
        <w:t>ТОВ</w:t>
      </w:r>
      <w:r w:rsidR="00FB073B">
        <w:rPr>
          <w:rFonts w:ascii="Times New Roman" w:hAnsi="Times New Roman"/>
          <w:sz w:val="24"/>
          <w:szCs w:val="24"/>
          <w:lang w:val="uk-UA"/>
        </w:rPr>
        <w:t xml:space="preserve"> «ЮТІЛІТІ ТРЕЙДІНГ»</w:t>
      </w:r>
      <w:r>
        <w:rPr>
          <w:rFonts w:ascii="Times New Roman" w:hAnsi="Times New Roman"/>
          <w:sz w:val="24"/>
          <w:szCs w:val="24"/>
          <w:lang w:val="uk-UA"/>
        </w:rPr>
        <w:t>,</w:t>
      </w:r>
      <w:r w:rsidR="00FB073B">
        <w:rPr>
          <w:rFonts w:ascii="Times New Roman" w:hAnsi="Times New Roman"/>
          <w:sz w:val="24"/>
          <w:szCs w:val="24"/>
          <w:lang w:val="uk-UA"/>
        </w:rPr>
        <w:t xml:space="preserve"> </w:t>
      </w:r>
      <w:r w:rsidR="00FB073B" w:rsidRPr="009B626B">
        <w:rPr>
          <w:rFonts w:ascii="Times New Roman" w:hAnsi="Times New Roman"/>
          <w:sz w:val="24"/>
          <w:szCs w:val="24"/>
          <w:lang w:val="uk-UA"/>
        </w:rPr>
        <w:t>ідентифікаційний код юридичної особи</w:t>
      </w:r>
      <w:r w:rsidR="00FB073B">
        <w:rPr>
          <w:rFonts w:ascii="Times New Roman" w:hAnsi="Times New Roman"/>
          <w:sz w:val="24"/>
          <w:szCs w:val="24"/>
          <w:lang w:val="uk-UA"/>
        </w:rPr>
        <w:t xml:space="preserve"> 43751784</w:t>
      </w:r>
      <w:r w:rsidR="00FB073B" w:rsidRPr="009B626B">
        <w:rPr>
          <w:rFonts w:ascii="Times New Roman" w:hAnsi="Times New Roman"/>
          <w:sz w:val="24"/>
          <w:szCs w:val="24"/>
          <w:lang w:val="uk-UA"/>
        </w:rPr>
        <w:t xml:space="preserve">, </w:t>
      </w:r>
      <w:r w:rsidR="00FC148C" w:rsidRPr="00FC148C">
        <w:rPr>
          <w:rFonts w:ascii="Times New Roman" w:hAnsi="Times New Roman"/>
          <w:sz w:val="24"/>
          <w:szCs w:val="24"/>
        </w:rPr>
        <w:t>[</w:t>
      </w:r>
      <w:r w:rsidR="00FC148C">
        <w:rPr>
          <w:rFonts w:ascii="Times New Roman" w:hAnsi="Times New Roman"/>
          <w:sz w:val="24"/>
          <w:szCs w:val="24"/>
          <w:lang w:val="uk-UA"/>
        </w:rPr>
        <w:t>к</w:t>
      </w:r>
      <w:r w:rsidR="00FC148C" w:rsidRPr="00FC148C">
        <w:rPr>
          <w:rFonts w:ascii="Times New Roman" w:hAnsi="Times New Roman"/>
          <w:i/>
          <w:sz w:val="24"/>
          <w:szCs w:val="24"/>
          <w:lang w:val="uk-UA"/>
        </w:rPr>
        <w:t>онфіденційна інформація</w:t>
      </w:r>
      <w:r w:rsidR="00FC148C" w:rsidRPr="00FC148C">
        <w:rPr>
          <w:rFonts w:ascii="Times New Roman" w:hAnsi="Times New Roman"/>
          <w:sz w:val="24"/>
          <w:szCs w:val="24"/>
        </w:rPr>
        <w:t>]</w:t>
      </w:r>
    </w:p>
    <w:p w14:paraId="3E769795" w14:textId="3556C1CF" w:rsidR="00C12CA3" w:rsidRDefault="00FB073B" w:rsidP="004B3A86">
      <w:pPr>
        <w:pStyle w:val="aa"/>
        <w:numPr>
          <w:ilvl w:val="0"/>
          <w:numId w:val="1"/>
        </w:numPr>
        <w:tabs>
          <w:tab w:val="clear" w:pos="360"/>
          <w:tab w:val="num" w:pos="567"/>
        </w:tabs>
        <w:overflowPunct w:val="0"/>
        <w:autoSpaceDE w:val="0"/>
        <w:autoSpaceDN w:val="0"/>
        <w:adjustRightInd w:val="0"/>
        <w:spacing w:before="120" w:after="120"/>
        <w:ind w:left="567" w:hanging="567"/>
        <w:contextualSpacing w:val="0"/>
        <w:textAlignment w:val="baseline"/>
        <w:rPr>
          <w:rFonts w:ascii="Times New Roman" w:hAnsi="Times New Roman"/>
          <w:sz w:val="24"/>
          <w:szCs w:val="24"/>
          <w:lang w:val="uk-UA"/>
        </w:rPr>
      </w:pPr>
      <w:r w:rsidRPr="00FB073B">
        <w:rPr>
          <w:rFonts w:ascii="Times New Roman" w:hAnsi="Times New Roman"/>
          <w:sz w:val="24"/>
          <w:szCs w:val="24"/>
          <w:lang w:val="uk-UA"/>
        </w:rPr>
        <w:t xml:space="preserve">ТОВ «ЮТІЛІТІ ТРЕЙДІНГ»  є </w:t>
      </w:r>
      <w:r w:rsidR="00FC148C" w:rsidRPr="00FC148C">
        <w:rPr>
          <w:rFonts w:ascii="Times New Roman" w:hAnsi="Times New Roman"/>
          <w:sz w:val="24"/>
          <w:szCs w:val="24"/>
          <w:lang w:val="uk-UA"/>
        </w:rPr>
        <w:t>[</w:t>
      </w:r>
      <w:r w:rsidR="00FC148C">
        <w:rPr>
          <w:rFonts w:ascii="Times New Roman" w:hAnsi="Times New Roman"/>
          <w:sz w:val="24"/>
          <w:szCs w:val="24"/>
          <w:lang w:val="uk-UA"/>
        </w:rPr>
        <w:t>к</w:t>
      </w:r>
      <w:r w:rsidR="00FC148C" w:rsidRPr="00FC148C">
        <w:rPr>
          <w:rFonts w:ascii="Times New Roman" w:hAnsi="Times New Roman"/>
          <w:i/>
          <w:sz w:val="24"/>
          <w:szCs w:val="24"/>
          <w:lang w:val="uk-UA"/>
        </w:rPr>
        <w:t>онфіденційна інформація</w:t>
      </w:r>
      <w:r w:rsidR="00FC148C" w:rsidRPr="00FC148C">
        <w:rPr>
          <w:rFonts w:ascii="Times New Roman" w:hAnsi="Times New Roman"/>
          <w:sz w:val="24"/>
          <w:szCs w:val="24"/>
          <w:lang w:val="uk-UA"/>
        </w:rPr>
        <w:t>]</w:t>
      </w:r>
      <w:r w:rsidR="007376D3">
        <w:rPr>
          <w:rFonts w:ascii="Times New Roman" w:hAnsi="Times New Roman"/>
          <w:sz w:val="24"/>
          <w:szCs w:val="24"/>
          <w:lang w:val="uk-UA"/>
        </w:rPr>
        <w:t>.</w:t>
      </w:r>
      <w:bookmarkStart w:id="1" w:name="_GoBack"/>
      <w:bookmarkEnd w:id="1"/>
    </w:p>
    <w:p w14:paraId="1FEE03C6" w14:textId="091390EF" w:rsidR="00175F3C" w:rsidRPr="00FB073B" w:rsidRDefault="004B3A86" w:rsidP="00175F3C">
      <w:pPr>
        <w:pStyle w:val="aa"/>
        <w:numPr>
          <w:ilvl w:val="0"/>
          <w:numId w:val="1"/>
        </w:numPr>
        <w:tabs>
          <w:tab w:val="clear" w:pos="360"/>
          <w:tab w:val="num" w:pos="567"/>
        </w:tabs>
        <w:overflowPunct w:val="0"/>
        <w:autoSpaceDE w:val="0"/>
        <w:autoSpaceDN w:val="0"/>
        <w:adjustRightInd w:val="0"/>
        <w:spacing w:before="120" w:after="120"/>
        <w:ind w:left="567" w:hanging="567"/>
        <w:contextualSpacing w:val="0"/>
        <w:textAlignment w:val="baseline"/>
        <w:rPr>
          <w:rFonts w:ascii="Times New Roman" w:hAnsi="Times New Roman"/>
          <w:sz w:val="24"/>
          <w:szCs w:val="24"/>
          <w:lang w:val="uk-UA"/>
        </w:rPr>
      </w:pPr>
      <w:r w:rsidRPr="00175F3C">
        <w:rPr>
          <w:rFonts w:ascii="Times New Roman" w:hAnsi="Times New Roman"/>
          <w:sz w:val="24"/>
          <w:szCs w:val="24"/>
          <w:lang w:val="uk-UA"/>
        </w:rPr>
        <w:t xml:space="preserve">У період </w:t>
      </w:r>
      <w:r w:rsidR="00B61D3C" w:rsidRPr="00175F3C">
        <w:rPr>
          <w:rFonts w:ascii="Times New Roman" w:hAnsi="Times New Roman"/>
          <w:sz w:val="24"/>
          <w:szCs w:val="24"/>
          <w:lang w:val="uk-UA"/>
        </w:rPr>
        <w:t>і</w:t>
      </w:r>
      <w:r w:rsidRPr="00175F3C">
        <w:rPr>
          <w:rFonts w:ascii="Times New Roman" w:hAnsi="Times New Roman"/>
          <w:sz w:val="24"/>
          <w:szCs w:val="24"/>
          <w:lang w:val="uk-UA"/>
        </w:rPr>
        <w:t xml:space="preserve">з січня по </w:t>
      </w:r>
      <w:r w:rsidR="00AC71CD" w:rsidRPr="00175F3C">
        <w:rPr>
          <w:rFonts w:ascii="Times New Roman" w:hAnsi="Times New Roman"/>
          <w:sz w:val="24"/>
          <w:szCs w:val="24"/>
          <w:lang w:val="uk-UA"/>
        </w:rPr>
        <w:t>травень</w:t>
      </w:r>
      <w:r w:rsidRPr="00175F3C">
        <w:rPr>
          <w:rFonts w:ascii="Times New Roman" w:hAnsi="Times New Roman"/>
          <w:sz w:val="24"/>
          <w:szCs w:val="24"/>
          <w:lang w:val="uk-UA"/>
        </w:rPr>
        <w:t xml:space="preserve"> 2021 року Товариство </w:t>
      </w:r>
      <w:r w:rsidRPr="00175F3C">
        <w:rPr>
          <w:rFonts w:ascii="Times New Roman" w:hAnsi="Times New Roman"/>
          <w:sz w:val="24"/>
          <w:szCs w:val="24"/>
          <w:u w:val="single"/>
          <w:lang w:val="uk-UA"/>
        </w:rPr>
        <w:t>придбавало</w:t>
      </w:r>
      <w:r w:rsidRPr="00175F3C">
        <w:rPr>
          <w:rFonts w:ascii="Times New Roman" w:hAnsi="Times New Roman"/>
          <w:sz w:val="24"/>
          <w:szCs w:val="24"/>
          <w:lang w:val="uk-UA"/>
        </w:rPr>
        <w:t xml:space="preserve"> </w:t>
      </w:r>
      <w:r w:rsidR="00175F3C" w:rsidRPr="00175F3C">
        <w:rPr>
          <w:rFonts w:ascii="Times New Roman" w:hAnsi="Times New Roman"/>
          <w:sz w:val="24"/>
          <w:szCs w:val="24"/>
          <w:lang w:val="uk-UA"/>
        </w:rPr>
        <w:t xml:space="preserve">електричну енергію </w:t>
      </w:r>
      <w:r w:rsidRPr="00175F3C">
        <w:rPr>
          <w:rFonts w:ascii="Times New Roman" w:hAnsi="Times New Roman"/>
          <w:sz w:val="24"/>
          <w:szCs w:val="24"/>
          <w:lang w:val="uk-UA"/>
        </w:rPr>
        <w:t xml:space="preserve">лише у </w:t>
      </w:r>
      <w:r w:rsidR="00B61D3C" w:rsidRPr="00175F3C">
        <w:rPr>
          <w:rFonts w:ascii="Times New Roman" w:hAnsi="Times New Roman"/>
          <w:sz w:val="24"/>
          <w:szCs w:val="24"/>
          <w:lang w:val="uk-UA"/>
        </w:rPr>
        <w:t xml:space="preserve">приватного </w:t>
      </w:r>
      <w:r w:rsidRPr="00175F3C">
        <w:rPr>
          <w:rFonts w:ascii="Times New Roman" w:hAnsi="Times New Roman"/>
          <w:sz w:val="24"/>
          <w:szCs w:val="24"/>
          <w:lang w:val="uk-UA"/>
        </w:rPr>
        <w:t xml:space="preserve">акціонерного товариства «УКРГІДРОЕНЕРГО» </w:t>
      </w:r>
      <w:r w:rsidR="00DA0187" w:rsidRPr="00175F3C">
        <w:rPr>
          <w:rFonts w:ascii="Times New Roman" w:hAnsi="Times New Roman"/>
          <w:sz w:val="24"/>
          <w:szCs w:val="24"/>
          <w:lang w:val="uk-UA"/>
        </w:rPr>
        <w:br/>
      </w:r>
      <w:r w:rsidRPr="00175F3C">
        <w:rPr>
          <w:rFonts w:ascii="Times New Roman" w:hAnsi="Times New Roman"/>
          <w:sz w:val="24"/>
          <w:szCs w:val="24"/>
          <w:lang w:val="uk-UA"/>
        </w:rPr>
        <w:t xml:space="preserve">(далі – ПрАТ «УКРГІДРОЕНЕРГО») на підставі  договорів </w:t>
      </w:r>
      <w:r w:rsidR="00175F3C" w:rsidRPr="00FC148C">
        <w:rPr>
          <w:rFonts w:ascii="Times New Roman" w:hAnsi="Times New Roman"/>
          <w:sz w:val="24"/>
          <w:szCs w:val="24"/>
        </w:rPr>
        <w:t>[</w:t>
      </w:r>
      <w:r w:rsidR="00175F3C">
        <w:rPr>
          <w:rFonts w:ascii="Times New Roman" w:hAnsi="Times New Roman"/>
          <w:sz w:val="24"/>
          <w:szCs w:val="24"/>
          <w:lang w:val="uk-UA"/>
        </w:rPr>
        <w:t>к</w:t>
      </w:r>
      <w:r w:rsidR="00175F3C" w:rsidRPr="00FC148C">
        <w:rPr>
          <w:rFonts w:ascii="Times New Roman" w:hAnsi="Times New Roman"/>
          <w:i/>
          <w:sz w:val="24"/>
          <w:szCs w:val="24"/>
          <w:lang w:val="uk-UA"/>
        </w:rPr>
        <w:t>онфіденційна інформація</w:t>
      </w:r>
      <w:r w:rsidR="00175F3C" w:rsidRPr="00FC148C">
        <w:rPr>
          <w:rFonts w:ascii="Times New Roman" w:hAnsi="Times New Roman"/>
          <w:sz w:val="24"/>
          <w:szCs w:val="24"/>
        </w:rPr>
        <w:t>]</w:t>
      </w:r>
      <w:r w:rsidR="00175F3C">
        <w:rPr>
          <w:rFonts w:ascii="Times New Roman" w:hAnsi="Times New Roman"/>
          <w:sz w:val="24"/>
          <w:szCs w:val="24"/>
        </w:rPr>
        <w:t>.</w:t>
      </w:r>
    </w:p>
    <w:p w14:paraId="18E75A9E" w14:textId="29B856FD" w:rsidR="007417EE" w:rsidRPr="00175F3C" w:rsidRDefault="007417EE" w:rsidP="000202F1">
      <w:pPr>
        <w:pStyle w:val="aa"/>
        <w:numPr>
          <w:ilvl w:val="0"/>
          <w:numId w:val="4"/>
        </w:numPr>
        <w:tabs>
          <w:tab w:val="num" w:pos="567"/>
        </w:tabs>
        <w:overflowPunct w:val="0"/>
        <w:autoSpaceDE w:val="0"/>
        <w:autoSpaceDN w:val="0"/>
        <w:adjustRightInd w:val="0"/>
        <w:spacing w:before="120" w:after="120"/>
        <w:ind w:left="567" w:hanging="567"/>
        <w:contextualSpacing w:val="0"/>
        <w:textAlignment w:val="baseline"/>
        <w:rPr>
          <w:rFonts w:ascii="Times New Roman" w:hAnsi="Times New Roman"/>
          <w:b/>
          <w:sz w:val="24"/>
        </w:rPr>
      </w:pPr>
      <w:r w:rsidRPr="00175F3C">
        <w:rPr>
          <w:rFonts w:ascii="Times New Roman" w:hAnsi="Times New Roman"/>
          <w:b/>
          <w:sz w:val="24"/>
        </w:rPr>
        <w:t>ПРЕДМЕТ АНАЛІЗУ</w:t>
      </w:r>
    </w:p>
    <w:p w14:paraId="0B7046FC" w14:textId="144A49DD" w:rsidR="00747F7D" w:rsidRPr="00747F7D" w:rsidRDefault="00747F7D" w:rsidP="00747F7D">
      <w:pPr>
        <w:pStyle w:val="aa"/>
        <w:numPr>
          <w:ilvl w:val="0"/>
          <w:numId w:val="1"/>
        </w:numPr>
        <w:tabs>
          <w:tab w:val="clear" w:pos="360"/>
          <w:tab w:val="num" w:pos="567"/>
        </w:tabs>
        <w:overflowPunct w:val="0"/>
        <w:autoSpaceDE w:val="0"/>
        <w:autoSpaceDN w:val="0"/>
        <w:adjustRightInd w:val="0"/>
        <w:spacing w:before="120" w:after="120"/>
        <w:ind w:left="567" w:hanging="567"/>
        <w:contextualSpacing w:val="0"/>
        <w:textAlignment w:val="baseline"/>
        <w:rPr>
          <w:rFonts w:ascii="Times New Roman" w:hAnsi="Times New Roman"/>
          <w:sz w:val="24"/>
          <w:szCs w:val="24"/>
          <w:lang w:val="uk-UA"/>
        </w:rPr>
      </w:pPr>
      <w:r w:rsidRPr="00747F7D">
        <w:rPr>
          <w:rFonts w:ascii="Times New Roman" w:hAnsi="Times New Roman"/>
          <w:sz w:val="24"/>
          <w:szCs w:val="24"/>
          <w:lang w:val="uk-UA"/>
        </w:rPr>
        <w:t xml:space="preserve">З аналізу викладених у </w:t>
      </w:r>
      <w:r w:rsidR="00883752">
        <w:rPr>
          <w:rFonts w:ascii="Times New Roman" w:hAnsi="Times New Roman"/>
          <w:sz w:val="24"/>
          <w:szCs w:val="24"/>
          <w:lang w:val="uk-UA"/>
        </w:rPr>
        <w:t xml:space="preserve">клопотанні </w:t>
      </w:r>
      <w:r w:rsidR="0072724A" w:rsidRPr="00D9772F">
        <w:rPr>
          <w:rFonts w:ascii="Times New Roman" w:hAnsi="Times New Roman"/>
          <w:sz w:val="24"/>
          <w:szCs w:val="28"/>
          <w:shd w:val="clear" w:color="auto" w:fill="FFFFFF"/>
        </w:rPr>
        <w:t>Національн</w:t>
      </w:r>
      <w:r w:rsidR="0072724A">
        <w:rPr>
          <w:rFonts w:ascii="Times New Roman" w:hAnsi="Times New Roman"/>
          <w:sz w:val="24"/>
          <w:szCs w:val="28"/>
          <w:shd w:val="clear" w:color="auto" w:fill="FFFFFF"/>
          <w:lang w:val="uk-UA"/>
        </w:rPr>
        <w:t>ої</w:t>
      </w:r>
      <w:r w:rsidR="0072724A" w:rsidRPr="00D9772F">
        <w:rPr>
          <w:rFonts w:ascii="Times New Roman" w:hAnsi="Times New Roman"/>
          <w:sz w:val="24"/>
          <w:szCs w:val="28"/>
          <w:shd w:val="clear" w:color="auto" w:fill="FFFFFF"/>
        </w:rPr>
        <w:t xml:space="preserve"> комісі</w:t>
      </w:r>
      <w:r w:rsidR="0072724A">
        <w:rPr>
          <w:rFonts w:ascii="Times New Roman" w:hAnsi="Times New Roman"/>
          <w:sz w:val="24"/>
          <w:szCs w:val="28"/>
          <w:shd w:val="clear" w:color="auto" w:fill="FFFFFF"/>
          <w:lang w:val="uk-UA"/>
        </w:rPr>
        <w:t>ї</w:t>
      </w:r>
      <w:r w:rsidR="0072724A" w:rsidRPr="00D9772F">
        <w:rPr>
          <w:rFonts w:ascii="Times New Roman" w:hAnsi="Times New Roman"/>
          <w:sz w:val="24"/>
          <w:szCs w:val="28"/>
          <w:shd w:val="clear" w:color="auto" w:fill="FFFFFF"/>
        </w:rPr>
        <w:t>, що здійснює державне регулювання у сферах енергетики та комунальних послуг</w:t>
      </w:r>
      <w:r w:rsidR="0072724A" w:rsidRPr="00D9772F">
        <w:rPr>
          <w:rFonts w:ascii="Times New Roman" w:hAnsi="Times New Roman"/>
          <w:szCs w:val="24"/>
          <w:lang w:val="uk-UA"/>
        </w:rPr>
        <w:t xml:space="preserve"> </w:t>
      </w:r>
      <w:r w:rsidR="0072724A" w:rsidRPr="00E27155">
        <w:rPr>
          <w:rFonts w:ascii="Times New Roman" w:hAnsi="Times New Roman"/>
          <w:sz w:val="24"/>
          <w:szCs w:val="24"/>
          <w:lang w:val="uk-UA"/>
        </w:rPr>
        <w:t>(</w:t>
      </w:r>
      <w:r w:rsidR="0072724A">
        <w:rPr>
          <w:rFonts w:ascii="Times New Roman" w:hAnsi="Times New Roman"/>
          <w:sz w:val="24"/>
          <w:szCs w:val="24"/>
          <w:lang w:val="uk-UA"/>
        </w:rPr>
        <w:t xml:space="preserve">далі – </w:t>
      </w:r>
      <w:r w:rsidR="0072724A" w:rsidRPr="00747F7D">
        <w:rPr>
          <w:rFonts w:ascii="Times New Roman" w:hAnsi="Times New Roman"/>
          <w:sz w:val="24"/>
          <w:szCs w:val="24"/>
          <w:lang w:val="uk-UA"/>
        </w:rPr>
        <w:t>НКРЕКП</w:t>
      </w:r>
      <w:r w:rsidR="0072724A">
        <w:rPr>
          <w:rFonts w:ascii="Times New Roman" w:hAnsi="Times New Roman"/>
          <w:sz w:val="24"/>
          <w:szCs w:val="24"/>
          <w:lang w:val="uk-UA"/>
        </w:rPr>
        <w:t>)</w:t>
      </w:r>
      <w:r w:rsidR="00E11532">
        <w:rPr>
          <w:rFonts w:ascii="Times New Roman" w:hAnsi="Times New Roman"/>
          <w:sz w:val="24"/>
          <w:szCs w:val="24"/>
        </w:rPr>
        <w:t>,</w:t>
      </w:r>
      <w:r w:rsidR="0072724A">
        <w:rPr>
          <w:rFonts w:ascii="Times New Roman" w:hAnsi="Times New Roman"/>
          <w:sz w:val="24"/>
          <w:szCs w:val="24"/>
          <w:lang w:val="uk-UA"/>
        </w:rPr>
        <w:br/>
        <w:t xml:space="preserve">від </w:t>
      </w:r>
      <w:r w:rsidR="0072724A" w:rsidRPr="0072724A">
        <w:rPr>
          <w:rFonts w:ascii="Times New Roman" w:hAnsi="Times New Roman"/>
          <w:sz w:val="24"/>
          <w:szCs w:val="24"/>
          <w:lang w:val="uk-UA"/>
        </w:rPr>
        <w:t>15.08.2022</w:t>
      </w:r>
      <w:r w:rsidR="0072724A">
        <w:rPr>
          <w:rFonts w:ascii="Times New Roman" w:hAnsi="Times New Roman"/>
          <w:sz w:val="24"/>
          <w:szCs w:val="24"/>
          <w:lang w:val="uk-UA"/>
        </w:rPr>
        <w:t xml:space="preserve"> № </w:t>
      </w:r>
      <w:r w:rsidR="0072724A" w:rsidRPr="0072724A">
        <w:rPr>
          <w:rFonts w:ascii="Times New Roman" w:hAnsi="Times New Roman"/>
          <w:sz w:val="24"/>
          <w:szCs w:val="24"/>
          <w:lang w:val="uk-UA"/>
        </w:rPr>
        <w:t>8358/14.2.2/7-22</w:t>
      </w:r>
      <w:r w:rsidR="0072724A">
        <w:rPr>
          <w:rFonts w:ascii="Times New Roman" w:hAnsi="Times New Roman"/>
          <w:sz w:val="24"/>
          <w:szCs w:val="24"/>
          <w:lang w:val="uk-UA"/>
        </w:rPr>
        <w:t xml:space="preserve"> (вх. № </w:t>
      </w:r>
      <w:r w:rsidR="0072724A" w:rsidRPr="0072724A">
        <w:rPr>
          <w:rFonts w:ascii="Times New Roman" w:hAnsi="Times New Roman"/>
          <w:sz w:val="24"/>
          <w:szCs w:val="24"/>
          <w:lang w:val="uk-UA"/>
        </w:rPr>
        <w:t>7-01/110-АМ</w:t>
      </w:r>
      <w:r w:rsidR="0072724A">
        <w:rPr>
          <w:rFonts w:ascii="Times New Roman" w:hAnsi="Times New Roman"/>
          <w:sz w:val="24"/>
          <w:szCs w:val="24"/>
          <w:lang w:val="uk-UA"/>
        </w:rPr>
        <w:t xml:space="preserve"> від </w:t>
      </w:r>
      <w:r w:rsidR="0072724A" w:rsidRPr="0072724A">
        <w:rPr>
          <w:rFonts w:ascii="Times New Roman" w:hAnsi="Times New Roman"/>
          <w:sz w:val="24"/>
          <w:szCs w:val="24"/>
          <w:lang w:val="uk-UA"/>
        </w:rPr>
        <w:t>16.08.2022</w:t>
      </w:r>
      <w:r w:rsidR="00503C81">
        <w:rPr>
          <w:rFonts w:ascii="Times New Roman" w:hAnsi="Times New Roman"/>
          <w:sz w:val="24"/>
          <w:szCs w:val="24"/>
          <w:lang w:val="uk-UA"/>
        </w:rPr>
        <w:t xml:space="preserve">) </w:t>
      </w:r>
      <w:r w:rsidR="00503C81">
        <w:rPr>
          <w:rFonts w:ascii="Times New Roman" w:hAnsi="Times New Roman"/>
          <w:sz w:val="24"/>
          <w:szCs w:val="24"/>
          <w:lang w:val="uk-UA"/>
        </w:rPr>
        <w:br/>
      </w:r>
      <w:r w:rsidR="00883752">
        <w:rPr>
          <w:rFonts w:ascii="Times New Roman" w:hAnsi="Times New Roman"/>
          <w:sz w:val="24"/>
          <w:szCs w:val="24"/>
          <w:lang w:val="uk-UA"/>
        </w:rPr>
        <w:t xml:space="preserve">(далі </w:t>
      </w:r>
      <w:r w:rsidR="00883752" w:rsidRPr="00503C81">
        <w:rPr>
          <w:rFonts w:ascii="Times New Roman" w:hAnsi="Times New Roman"/>
          <w:sz w:val="24"/>
          <w:szCs w:val="24"/>
          <w:lang w:val="uk-UA"/>
        </w:rPr>
        <w:t>− Клопотання)</w:t>
      </w:r>
      <w:r w:rsidR="00883752" w:rsidRPr="00747F7D">
        <w:rPr>
          <w:rFonts w:ascii="Times New Roman" w:hAnsi="Times New Roman"/>
          <w:sz w:val="24"/>
          <w:szCs w:val="24"/>
          <w:lang w:val="uk-UA"/>
        </w:rPr>
        <w:t xml:space="preserve"> </w:t>
      </w:r>
      <w:r w:rsidRPr="00747F7D">
        <w:rPr>
          <w:rFonts w:ascii="Times New Roman" w:hAnsi="Times New Roman"/>
          <w:sz w:val="24"/>
          <w:szCs w:val="24"/>
          <w:lang w:val="uk-UA"/>
        </w:rPr>
        <w:t xml:space="preserve">обставин вбачається, </w:t>
      </w:r>
      <w:r w:rsidRPr="0072724A">
        <w:rPr>
          <w:rFonts w:ascii="Times New Roman" w:hAnsi="Times New Roman"/>
          <w:sz w:val="24"/>
          <w:szCs w:val="28"/>
          <w:lang w:val="uk-UA"/>
        </w:rPr>
        <w:t>щ</w:t>
      </w:r>
      <w:r w:rsidR="0072724A">
        <w:rPr>
          <w:rFonts w:ascii="Times New Roman" w:hAnsi="Times New Roman"/>
          <w:sz w:val="24"/>
          <w:szCs w:val="28"/>
          <w:lang w:val="uk-UA"/>
        </w:rPr>
        <w:t>о НКРЕКП</w:t>
      </w:r>
      <w:r w:rsidR="00CB4A70">
        <w:rPr>
          <w:rFonts w:ascii="Times New Roman" w:hAnsi="Times New Roman"/>
          <w:sz w:val="24"/>
          <w:szCs w:val="24"/>
          <w:lang w:val="uk-UA"/>
        </w:rPr>
        <w:t>,</w:t>
      </w:r>
      <w:r w:rsidRPr="00747F7D">
        <w:rPr>
          <w:rFonts w:ascii="Times New Roman" w:hAnsi="Times New Roman"/>
          <w:sz w:val="24"/>
          <w:szCs w:val="24"/>
          <w:lang w:val="uk-UA"/>
        </w:rPr>
        <w:t xml:space="preserve"> під час проведення розслідування порушень законодавства щодо функціонування ринку електричної енергії, розпочатого відповідно до постанови НКРЕКП від 29.09.2021 </w:t>
      </w:r>
      <w:r w:rsidR="00EB48DB">
        <w:rPr>
          <w:rFonts w:ascii="Times New Roman" w:hAnsi="Times New Roman"/>
          <w:sz w:val="24"/>
          <w:szCs w:val="24"/>
          <w:lang w:val="uk-UA"/>
        </w:rPr>
        <w:br/>
      </w:r>
      <w:r w:rsidRPr="00747F7D">
        <w:rPr>
          <w:rFonts w:ascii="Times New Roman" w:hAnsi="Times New Roman"/>
          <w:sz w:val="24"/>
          <w:szCs w:val="24"/>
          <w:lang w:val="uk-UA"/>
        </w:rPr>
        <w:t>№</w:t>
      </w:r>
      <w:r w:rsidR="00775009">
        <w:rPr>
          <w:rFonts w:ascii="Times New Roman" w:hAnsi="Times New Roman"/>
          <w:sz w:val="24"/>
          <w:szCs w:val="24"/>
          <w:lang w:val="uk-UA"/>
        </w:rPr>
        <w:t> </w:t>
      </w:r>
      <w:r w:rsidRPr="00747F7D">
        <w:rPr>
          <w:rFonts w:ascii="Times New Roman" w:hAnsi="Times New Roman"/>
          <w:sz w:val="24"/>
          <w:szCs w:val="24"/>
          <w:lang w:val="uk-UA"/>
        </w:rPr>
        <w:t>1634 «Про початок розслідування порушень законодавства щодо функціонування ринку електричної енергії, ознаки яких містяться в діях ПрАТ «УКРГІДРОЕНЕРГО» та ТОВ «ЮТІЛІТІ ТРЕЙДІНГ», вияв</w:t>
      </w:r>
      <w:r w:rsidR="006C78DE">
        <w:rPr>
          <w:rFonts w:ascii="Times New Roman" w:hAnsi="Times New Roman"/>
          <w:sz w:val="24"/>
          <w:szCs w:val="24"/>
          <w:lang w:val="uk-UA"/>
        </w:rPr>
        <w:t>ила</w:t>
      </w:r>
      <w:r w:rsidRPr="00747F7D">
        <w:rPr>
          <w:rFonts w:ascii="Times New Roman" w:hAnsi="Times New Roman"/>
          <w:sz w:val="24"/>
          <w:szCs w:val="24"/>
          <w:lang w:val="uk-UA"/>
        </w:rPr>
        <w:t xml:space="preserve"> обмежувальні положення</w:t>
      </w:r>
      <w:r w:rsidR="00D9771E">
        <w:rPr>
          <w:rFonts w:ascii="Times New Roman" w:hAnsi="Times New Roman"/>
          <w:sz w:val="24"/>
          <w:szCs w:val="24"/>
          <w:lang w:val="uk-UA"/>
        </w:rPr>
        <w:t xml:space="preserve"> у </w:t>
      </w:r>
      <w:r w:rsidRPr="00747F7D">
        <w:rPr>
          <w:rFonts w:ascii="Times New Roman" w:hAnsi="Times New Roman"/>
          <w:sz w:val="24"/>
          <w:szCs w:val="24"/>
          <w:lang w:val="uk-UA"/>
        </w:rPr>
        <w:t>двосторонніх договор</w:t>
      </w:r>
      <w:r w:rsidR="00D9771E">
        <w:rPr>
          <w:rFonts w:ascii="Times New Roman" w:hAnsi="Times New Roman"/>
          <w:sz w:val="24"/>
          <w:szCs w:val="24"/>
          <w:lang w:val="uk-UA"/>
        </w:rPr>
        <w:t>ах</w:t>
      </w:r>
      <w:r w:rsidRPr="00747F7D">
        <w:rPr>
          <w:rFonts w:ascii="Times New Roman" w:hAnsi="Times New Roman"/>
          <w:sz w:val="24"/>
          <w:szCs w:val="24"/>
          <w:lang w:val="uk-UA"/>
        </w:rPr>
        <w:t xml:space="preserve">, укладених між Товариством та покупцями електричної енергії, що полягали </w:t>
      </w:r>
      <w:r w:rsidR="006C78DE">
        <w:rPr>
          <w:rFonts w:ascii="Times New Roman" w:hAnsi="Times New Roman"/>
          <w:sz w:val="24"/>
          <w:szCs w:val="24"/>
          <w:lang w:val="uk-UA"/>
        </w:rPr>
        <w:t>в</w:t>
      </w:r>
      <w:r w:rsidR="006C78DE" w:rsidRPr="00747F7D">
        <w:rPr>
          <w:rFonts w:ascii="Times New Roman" w:hAnsi="Times New Roman"/>
          <w:sz w:val="24"/>
          <w:szCs w:val="24"/>
          <w:lang w:val="uk-UA"/>
        </w:rPr>
        <w:t xml:space="preserve"> </w:t>
      </w:r>
      <w:r w:rsidRPr="00747F7D">
        <w:rPr>
          <w:rFonts w:ascii="Times New Roman" w:hAnsi="Times New Roman"/>
          <w:sz w:val="24"/>
          <w:szCs w:val="24"/>
          <w:lang w:val="uk-UA"/>
        </w:rPr>
        <w:t xml:space="preserve">забороні перепродажу електричної енергії на ринку «на добу наперед» (далі – РДН). </w:t>
      </w:r>
    </w:p>
    <w:p w14:paraId="38914ABD" w14:textId="358488F1" w:rsidR="00747F7D" w:rsidRPr="00747F7D" w:rsidRDefault="00747F7D" w:rsidP="00747F7D">
      <w:pPr>
        <w:pStyle w:val="aa"/>
        <w:numPr>
          <w:ilvl w:val="0"/>
          <w:numId w:val="1"/>
        </w:numPr>
        <w:tabs>
          <w:tab w:val="clear" w:pos="360"/>
          <w:tab w:val="num" w:pos="567"/>
        </w:tabs>
        <w:overflowPunct w:val="0"/>
        <w:autoSpaceDE w:val="0"/>
        <w:autoSpaceDN w:val="0"/>
        <w:adjustRightInd w:val="0"/>
        <w:spacing w:before="120" w:after="120"/>
        <w:ind w:left="567" w:hanging="567"/>
        <w:contextualSpacing w:val="0"/>
        <w:textAlignment w:val="baseline"/>
        <w:rPr>
          <w:rFonts w:ascii="Times New Roman" w:hAnsi="Times New Roman"/>
          <w:sz w:val="24"/>
          <w:szCs w:val="24"/>
          <w:lang w:val="uk-UA"/>
        </w:rPr>
      </w:pPr>
      <w:r w:rsidRPr="00747F7D">
        <w:rPr>
          <w:rFonts w:ascii="Times New Roman" w:hAnsi="Times New Roman"/>
          <w:sz w:val="24"/>
          <w:szCs w:val="24"/>
          <w:lang w:val="uk-UA"/>
        </w:rPr>
        <w:lastRenderedPageBreak/>
        <w:t xml:space="preserve">На думку НКРЕКП, ТОВ «ЮТІЛІТІ ТРЕЙДІНГ» на підставі таких договорів  </w:t>
      </w:r>
      <w:r w:rsidR="006C78DE" w:rsidRPr="00747F7D">
        <w:rPr>
          <w:rFonts w:ascii="Times New Roman" w:hAnsi="Times New Roman"/>
          <w:sz w:val="24"/>
          <w:szCs w:val="24"/>
          <w:lang w:val="uk-UA"/>
        </w:rPr>
        <w:t>обмеж</w:t>
      </w:r>
      <w:r w:rsidR="006C78DE">
        <w:rPr>
          <w:rFonts w:ascii="Times New Roman" w:hAnsi="Times New Roman"/>
          <w:sz w:val="24"/>
          <w:szCs w:val="24"/>
          <w:lang w:val="uk-UA"/>
        </w:rPr>
        <w:t>ило</w:t>
      </w:r>
      <w:r w:rsidR="006C78DE" w:rsidRPr="00747F7D">
        <w:rPr>
          <w:rFonts w:ascii="Times New Roman" w:hAnsi="Times New Roman"/>
          <w:sz w:val="24"/>
          <w:szCs w:val="24"/>
          <w:lang w:val="uk-UA"/>
        </w:rPr>
        <w:t xml:space="preserve"> </w:t>
      </w:r>
      <w:r w:rsidRPr="00747F7D">
        <w:rPr>
          <w:rFonts w:ascii="Times New Roman" w:hAnsi="Times New Roman"/>
          <w:sz w:val="24"/>
          <w:szCs w:val="24"/>
          <w:lang w:val="uk-UA"/>
        </w:rPr>
        <w:t xml:space="preserve">доступ до ринку «на добу наперед» (далі – РДН) для </w:t>
      </w:r>
      <w:r w:rsidR="00EB48DB">
        <w:rPr>
          <w:rFonts w:ascii="Times New Roman" w:hAnsi="Times New Roman"/>
          <w:sz w:val="24"/>
          <w:szCs w:val="24"/>
          <w:lang w:val="uk-UA"/>
        </w:rPr>
        <w:br/>
      </w:r>
      <w:r w:rsidRPr="00747F7D">
        <w:rPr>
          <w:rFonts w:ascii="Times New Roman" w:hAnsi="Times New Roman"/>
          <w:sz w:val="24"/>
          <w:szCs w:val="24"/>
          <w:lang w:val="uk-UA"/>
        </w:rPr>
        <w:t>ТОВ</w:t>
      </w:r>
      <w:r w:rsidR="00B16081">
        <w:rPr>
          <w:rFonts w:ascii="Times New Roman" w:hAnsi="Times New Roman"/>
          <w:sz w:val="24"/>
          <w:szCs w:val="24"/>
          <w:lang w:val="uk-UA"/>
        </w:rPr>
        <w:t> </w:t>
      </w:r>
      <w:r w:rsidRPr="00747F7D">
        <w:rPr>
          <w:rFonts w:ascii="Times New Roman" w:hAnsi="Times New Roman"/>
          <w:sz w:val="24"/>
          <w:szCs w:val="24"/>
          <w:lang w:val="uk-UA"/>
        </w:rPr>
        <w:t xml:space="preserve">«НОВА-ЕНЕРГЕТИЧНА-КОМПАНІЯ», ТОВ «МАГІСТРАЛЬ ЕНЕРГО», </w:t>
      </w:r>
      <w:r w:rsidR="00EB48DB">
        <w:rPr>
          <w:rFonts w:ascii="Times New Roman" w:hAnsi="Times New Roman"/>
          <w:sz w:val="24"/>
          <w:szCs w:val="24"/>
          <w:lang w:val="uk-UA"/>
        </w:rPr>
        <w:br/>
      </w:r>
      <w:r w:rsidRPr="00747F7D">
        <w:rPr>
          <w:rFonts w:ascii="Times New Roman" w:hAnsi="Times New Roman"/>
          <w:sz w:val="24"/>
          <w:szCs w:val="24"/>
          <w:lang w:val="uk-UA"/>
        </w:rPr>
        <w:t>ТОВ</w:t>
      </w:r>
      <w:r w:rsidR="00B16081">
        <w:rPr>
          <w:rFonts w:ascii="Times New Roman" w:hAnsi="Times New Roman"/>
          <w:sz w:val="24"/>
          <w:szCs w:val="24"/>
          <w:lang w:val="uk-UA"/>
        </w:rPr>
        <w:t> </w:t>
      </w:r>
      <w:r w:rsidRPr="00747F7D">
        <w:rPr>
          <w:rFonts w:ascii="Times New Roman" w:hAnsi="Times New Roman"/>
          <w:sz w:val="24"/>
          <w:szCs w:val="24"/>
          <w:lang w:val="uk-UA"/>
        </w:rPr>
        <w:t xml:space="preserve">«АГЕНЦІЯ </w:t>
      </w:r>
      <w:r w:rsidR="00F155DF">
        <w:rPr>
          <w:rFonts w:ascii="Times New Roman" w:hAnsi="Times New Roman"/>
          <w:sz w:val="24"/>
          <w:szCs w:val="24"/>
          <w:lang w:val="uk-UA"/>
        </w:rPr>
        <w:t>І</w:t>
      </w:r>
      <w:r w:rsidRPr="00747F7D">
        <w:rPr>
          <w:rFonts w:ascii="Times New Roman" w:hAnsi="Times New Roman"/>
          <w:sz w:val="24"/>
          <w:szCs w:val="24"/>
          <w:lang w:val="uk-UA"/>
        </w:rPr>
        <w:t xml:space="preserve">НВЕСТИЦІЙНОГО МЕНЕДЖМЕНТУ», що призвело до неправомірного обмеження конкуренції на РДН. </w:t>
      </w:r>
    </w:p>
    <w:p w14:paraId="52DFF7AB" w14:textId="643DD070" w:rsidR="004B3A86" w:rsidRPr="00E5711F" w:rsidRDefault="004B3A86" w:rsidP="00E5711F">
      <w:pPr>
        <w:pStyle w:val="aa"/>
        <w:numPr>
          <w:ilvl w:val="0"/>
          <w:numId w:val="4"/>
        </w:numPr>
        <w:tabs>
          <w:tab w:val="left" w:pos="851"/>
        </w:tabs>
        <w:overflowPunct w:val="0"/>
        <w:autoSpaceDE w:val="0"/>
        <w:autoSpaceDN w:val="0"/>
        <w:adjustRightInd w:val="0"/>
        <w:spacing w:after="120"/>
        <w:ind w:left="567" w:hanging="567"/>
        <w:contextualSpacing w:val="0"/>
        <w:textAlignment w:val="baseline"/>
        <w:rPr>
          <w:rFonts w:ascii="Times New Roman" w:hAnsi="Times New Roman"/>
          <w:b/>
          <w:sz w:val="24"/>
          <w:szCs w:val="24"/>
          <w:lang w:eastAsia="ru-RU"/>
        </w:rPr>
      </w:pPr>
      <w:r w:rsidRPr="00E5711F">
        <w:rPr>
          <w:rFonts w:ascii="Times New Roman" w:hAnsi="Times New Roman"/>
          <w:b/>
          <w:sz w:val="24"/>
          <w:szCs w:val="24"/>
          <w:lang w:eastAsia="ru-RU"/>
        </w:rPr>
        <w:t>СТАН КОНКУРЕНЦІЇ НА ЗАДІЯНОМУ</w:t>
      </w:r>
      <w:r w:rsidR="007417EE" w:rsidRPr="00E5711F">
        <w:rPr>
          <w:rFonts w:ascii="Times New Roman" w:hAnsi="Times New Roman"/>
          <w:b/>
          <w:sz w:val="24"/>
          <w:szCs w:val="24"/>
          <w:lang w:eastAsia="ru-RU"/>
        </w:rPr>
        <w:t xml:space="preserve"> </w:t>
      </w:r>
      <w:r w:rsidRPr="00E5711F">
        <w:rPr>
          <w:rFonts w:ascii="Times New Roman" w:hAnsi="Times New Roman"/>
          <w:b/>
          <w:sz w:val="24"/>
          <w:szCs w:val="24"/>
          <w:lang w:eastAsia="ru-RU"/>
        </w:rPr>
        <w:t>ТОВАРНОМУ РИНКУ</w:t>
      </w:r>
    </w:p>
    <w:p w14:paraId="58215290" w14:textId="32B4B8F7" w:rsidR="004B3A86" w:rsidRDefault="004B3A86" w:rsidP="00E5711F">
      <w:pPr>
        <w:tabs>
          <w:tab w:val="left" w:pos="567"/>
        </w:tabs>
        <w:spacing w:before="120" w:after="120"/>
        <w:ind w:left="567"/>
        <w:rPr>
          <w:b/>
          <w:i/>
          <w:iCs/>
          <w:shd w:val="clear" w:color="auto" w:fill="FFFFFF"/>
        </w:rPr>
      </w:pPr>
      <w:r>
        <w:rPr>
          <w:b/>
          <w:i/>
          <w:iCs/>
          <w:shd w:val="clear" w:color="auto" w:fill="FFFFFF"/>
        </w:rPr>
        <w:t>Товарні</w:t>
      </w:r>
      <w:r w:rsidRPr="007F4A75">
        <w:rPr>
          <w:b/>
          <w:i/>
          <w:iCs/>
          <w:shd w:val="clear" w:color="auto" w:fill="FFFFFF"/>
        </w:rPr>
        <w:t xml:space="preserve"> межі ринку </w:t>
      </w:r>
    </w:p>
    <w:p w14:paraId="713F7C46" w14:textId="6D9FC65C" w:rsidR="004B3A86" w:rsidRDefault="004B3A86" w:rsidP="004B3A86">
      <w:pPr>
        <w:numPr>
          <w:ilvl w:val="0"/>
          <w:numId w:val="1"/>
        </w:numPr>
        <w:tabs>
          <w:tab w:val="clear" w:pos="360"/>
          <w:tab w:val="num" w:pos="567"/>
        </w:tabs>
        <w:spacing w:before="120" w:after="120"/>
        <w:ind w:left="567" w:hanging="567"/>
        <w:jc w:val="both"/>
      </w:pPr>
      <w:r w:rsidRPr="004B3A86">
        <w:t xml:space="preserve">Відповідно до пункту 5.1 Методики </w:t>
      </w:r>
      <w:r w:rsidRPr="004B3A86">
        <w:rPr>
          <w:bCs/>
        </w:rPr>
        <w:t xml:space="preserve">визначення монопольного (домінуючого) становища суб'єктів господарювання на ринку, затвердженої розпорядженням Антимонопольного комітету України </w:t>
      </w:r>
      <w:r w:rsidRPr="004B3A86">
        <w:t xml:space="preserve">від 05.03.2002 № 49-р, </w:t>
      </w:r>
      <w:r w:rsidR="00B16081" w:rsidRPr="004B3A86">
        <w:t>зареєстрован</w:t>
      </w:r>
      <w:r w:rsidR="00B16081">
        <w:t xml:space="preserve">им </w:t>
      </w:r>
      <w:r w:rsidR="00D9771E">
        <w:br/>
      </w:r>
      <w:r w:rsidR="00B16081">
        <w:t>у</w:t>
      </w:r>
      <w:r w:rsidR="00B16081" w:rsidRPr="004B3A86">
        <w:t xml:space="preserve"> </w:t>
      </w:r>
      <w:r w:rsidRPr="004B3A86">
        <w:t xml:space="preserve">Міністерстві юстиції України </w:t>
      </w:r>
      <w:r w:rsidR="00B16081">
        <w:t xml:space="preserve"> 0</w:t>
      </w:r>
      <w:r w:rsidRPr="004B3A86">
        <w:t>1.04.2002 за № 317/6605  (далі – Методика), товарні межі ринку визначаються шляхом формування групи взаємозамінних товарів (товарних груп), у межах якої споживач за звичайних умов може легко перейти від споживання одного товару до споживання іншого</w:t>
      </w:r>
      <w:r>
        <w:t>.</w:t>
      </w:r>
    </w:p>
    <w:p w14:paraId="4753B486" w14:textId="77777777" w:rsidR="008E2477" w:rsidRDefault="004B3A86" w:rsidP="008E2477">
      <w:pPr>
        <w:numPr>
          <w:ilvl w:val="0"/>
          <w:numId w:val="1"/>
        </w:numPr>
        <w:tabs>
          <w:tab w:val="clear" w:pos="360"/>
          <w:tab w:val="num" w:pos="567"/>
        </w:tabs>
        <w:spacing w:before="120" w:after="120"/>
        <w:ind w:left="567" w:hanging="567"/>
        <w:jc w:val="both"/>
      </w:pPr>
      <w:r w:rsidRPr="004B3A86">
        <w:t>Відповідно до пункту 4.1 Методики під час визначення товару, який є об’єктом цього аналізу, встановлювався перелік товарів (товарних груп), які обертаються в Україні чи на відповідній частині її території і які мають для продавців (постачальників,  виробників), покупців (споживачів, користувачів) ознаки одного (подібного, аналогічного) товару (товарної групи).</w:t>
      </w:r>
    </w:p>
    <w:p w14:paraId="708009B1" w14:textId="212F284B" w:rsidR="008E2477" w:rsidRDefault="004B3A86" w:rsidP="008E2477">
      <w:pPr>
        <w:numPr>
          <w:ilvl w:val="0"/>
          <w:numId w:val="1"/>
        </w:numPr>
        <w:tabs>
          <w:tab w:val="clear" w:pos="360"/>
          <w:tab w:val="num" w:pos="567"/>
        </w:tabs>
        <w:spacing w:before="120" w:after="120"/>
        <w:ind w:left="567" w:hanging="567"/>
        <w:jc w:val="both"/>
      </w:pPr>
      <w:r w:rsidRPr="008E2477">
        <w:t xml:space="preserve">Під час визначення товару, який є об’єктом аналізу щодо визначення монопольного (домінуючого) становища та обертається на ринку, Комітет виходив </w:t>
      </w:r>
      <w:r w:rsidR="00B16081">
        <w:t>і</w:t>
      </w:r>
      <w:r w:rsidRPr="008E2477">
        <w:t>з того, що ТОВ «МАГІСТРАЛЬ ЕНЕРГО», ТОВ «АГЕНЦІЯ ІНВЕСТИЦІЙНОГО МЕНЕДЖМЕНТУ», ТОВ «НОВА-ЕНЕРГЕТИЧНА-КОМПАНІЯ»</w:t>
      </w:r>
      <w:r w:rsidR="00B16081">
        <w:t xml:space="preserve"> </w:t>
      </w:r>
      <w:r w:rsidRPr="008E2477">
        <w:t>є</w:t>
      </w:r>
      <w:r w:rsidR="00175F3C" w:rsidRPr="00175F3C">
        <w:t xml:space="preserve"> </w:t>
      </w:r>
      <w:r w:rsidR="00175F3C" w:rsidRPr="00FC148C">
        <w:t>[</w:t>
      </w:r>
      <w:r w:rsidR="00175F3C">
        <w:t>к</w:t>
      </w:r>
      <w:r w:rsidR="00175F3C" w:rsidRPr="00FC148C">
        <w:rPr>
          <w:i/>
        </w:rPr>
        <w:t>онфіденційна інформація</w:t>
      </w:r>
      <w:r w:rsidR="00175F3C" w:rsidRPr="00FC148C">
        <w:t>]</w:t>
      </w:r>
      <w:r w:rsidR="00175F3C" w:rsidRPr="00175F3C">
        <w:t xml:space="preserve"> </w:t>
      </w:r>
      <w:r w:rsidR="00E5550C">
        <w:t>(далі – Електропостачальники)</w:t>
      </w:r>
      <w:r w:rsidR="00E5711F">
        <w:t>.</w:t>
      </w:r>
    </w:p>
    <w:p w14:paraId="06075BF0" w14:textId="2512191D" w:rsidR="008E2477" w:rsidRPr="008E2477" w:rsidRDefault="004B3A86" w:rsidP="008E2477">
      <w:pPr>
        <w:numPr>
          <w:ilvl w:val="0"/>
          <w:numId w:val="1"/>
        </w:numPr>
        <w:tabs>
          <w:tab w:val="clear" w:pos="360"/>
          <w:tab w:val="num" w:pos="567"/>
        </w:tabs>
        <w:spacing w:before="120" w:after="120"/>
        <w:ind w:left="567" w:hanging="567"/>
        <w:jc w:val="both"/>
      </w:pPr>
      <w:r w:rsidRPr="00E5711F">
        <w:rPr>
          <w:color w:val="000000" w:themeColor="text1"/>
        </w:rPr>
        <w:t>Відповідно до пункту 26 частини першої статті 1 Закону</w:t>
      </w:r>
      <w:r w:rsidR="00E5711F" w:rsidRPr="00E5711F">
        <w:rPr>
          <w:color w:val="000000" w:themeColor="text1"/>
        </w:rPr>
        <w:t xml:space="preserve"> України «</w:t>
      </w:r>
      <w:r w:rsidR="00E5711F" w:rsidRPr="00E5711F">
        <w:rPr>
          <w:bCs/>
          <w:color w:val="000000" w:themeColor="text1"/>
        </w:rPr>
        <w:t>Про ринок електричної енергії</w:t>
      </w:r>
      <w:r w:rsidR="00E5711F">
        <w:rPr>
          <w:bCs/>
          <w:color w:val="000000" w:themeColor="text1"/>
        </w:rPr>
        <w:t>»</w:t>
      </w:r>
      <w:r w:rsidR="001B11F5" w:rsidRPr="001B11F5">
        <w:rPr>
          <w:bCs/>
          <w:color w:val="000000" w:themeColor="text1"/>
        </w:rPr>
        <w:t xml:space="preserve"> (дал</w:t>
      </w:r>
      <w:r w:rsidR="001B11F5">
        <w:rPr>
          <w:bCs/>
          <w:color w:val="000000" w:themeColor="text1"/>
        </w:rPr>
        <w:t>і – Закон)</w:t>
      </w:r>
      <w:r w:rsidRPr="00E5711F">
        <w:rPr>
          <w:color w:val="000000" w:themeColor="text1"/>
        </w:rPr>
        <w:t xml:space="preserve"> </w:t>
      </w:r>
      <w:r w:rsidRPr="00E5711F">
        <w:rPr>
          <w:color w:val="000000" w:themeColor="text1"/>
          <w:shd w:val="clear" w:color="auto" w:fill="FFFFFF"/>
        </w:rPr>
        <w:t>електрична енергія – енергія, що виробляється на об’єктах електроенергетики і є</w:t>
      </w:r>
      <w:r w:rsidRPr="008E2477">
        <w:rPr>
          <w:color w:val="000000" w:themeColor="text1"/>
          <w:shd w:val="clear" w:color="auto" w:fill="FFFFFF"/>
        </w:rPr>
        <w:t xml:space="preserve"> товаром, призначеним для купівлі-продажу.</w:t>
      </w:r>
    </w:p>
    <w:p w14:paraId="3010D6F9" w14:textId="198E40C9" w:rsidR="008E2477" w:rsidRDefault="004B3A86" w:rsidP="008E2477">
      <w:pPr>
        <w:numPr>
          <w:ilvl w:val="0"/>
          <w:numId w:val="1"/>
        </w:numPr>
        <w:tabs>
          <w:tab w:val="clear" w:pos="360"/>
          <w:tab w:val="num" w:pos="567"/>
        </w:tabs>
        <w:spacing w:before="120" w:after="120"/>
        <w:ind w:left="567" w:hanging="567"/>
        <w:jc w:val="both"/>
      </w:pPr>
      <w:r w:rsidRPr="008E2477">
        <w:t xml:space="preserve">Електрична енергія як товар відрізняється від інших товарів особливими споживчими якостями та фізико-технічними характеристиками (одночасність виробництва та споживання, неможливість складування, повернення), які визначають необхідність регулювання та регламентації використання цього товару. </w:t>
      </w:r>
    </w:p>
    <w:p w14:paraId="5FE8DEA6" w14:textId="6717E727" w:rsidR="008E2477" w:rsidRDefault="004B3A86" w:rsidP="008E2477">
      <w:pPr>
        <w:numPr>
          <w:ilvl w:val="0"/>
          <w:numId w:val="1"/>
        </w:numPr>
        <w:tabs>
          <w:tab w:val="clear" w:pos="360"/>
          <w:tab w:val="num" w:pos="567"/>
        </w:tabs>
        <w:spacing w:before="120" w:after="120"/>
        <w:ind w:left="567" w:hanging="567"/>
        <w:jc w:val="both"/>
      </w:pPr>
      <w:r w:rsidRPr="00084D1A">
        <w:t xml:space="preserve">Здійснюючи господарську діяльність з постачання електричної енергії споживачу на підставі відповідної ліцензії та з урахуванням Ліцензійних умов </w:t>
      </w:r>
      <w:r w:rsidRPr="008E2477">
        <w:rPr>
          <w:bCs/>
          <w:shd w:val="clear" w:color="auto" w:fill="FFFFFF"/>
        </w:rPr>
        <w:t xml:space="preserve">провадження господарської діяльності з постачання електричної енергії споживачу, затверджених </w:t>
      </w:r>
      <w:r w:rsidR="00D7275F">
        <w:rPr>
          <w:bCs/>
        </w:rPr>
        <w:t>п</w:t>
      </w:r>
      <w:r w:rsidR="00D7275F" w:rsidRPr="008E2477">
        <w:rPr>
          <w:bCs/>
        </w:rPr>
        <w:t xml:space="preserve">остановою </w:t>
      </w:r>
      <w:r w:rsidRPr="008E2477">
        <w:rPr>
          <w:bCs/>
        </w:rPr>
        <w:t>НКРЕКП</w:t>
      </w:r>
      <w:r w:rsidRPr="00084D1A">
        <w:t xml:space="preserve"> </w:t>
      </w:r>
      <w:r w:rsidRPr="008E2477">
        <w:rPr>
          <w:bCs/>
        </w:rPr>
        <w:t>від 27.12.2017  № 1469,</w:t>
      </w:r>
      <w:r w:rsidRPr="00084D1A">
        <w:t xml:space="preserve"> </w:t>
      </w:r>
      <w:r w:rsidR="00AB4DDF">
        <w:t>зазначені</w:t>
      </w:r>
      <w:r w:rsidR="00AB4DDF" w:rsidRPr="007942FE">
        <w:t xml:space="preserve"> </w:t>
      </w:r>
      <w:r w:rsidRPr="007942FE">
        <w:t>суб’єкти господарювання (ліцензіати) не можуть замінити електричну енергію іншим товаром.</w:t>
      </w:r>
    </w:p>
    <w:p w14:paraId="142A1C96" w14:textId="77777777" w:rsidR="008E2477" w:rsidRDefault="004B3A86" w:rsidP="008E2477">
      <w:pPr>
        <w:numPr>
          <w:ilvl w:val="0"/>
          <w:numId w:val="1"/>
        </w:numPr>
        <w:tabs>
          <w:tab w:val="clear" w:pos="360"/>
          <w:tab w:val="num" w:pos="567"/>
        </w:tabs>
        <w:spacing w:before="120" w:after="120"/>
        <w:ind w:left="567" w:hanging="567"/>
        <w:jc w:val="both"/>
      </w:pPr>
      <w:r w:rsidRPr="008E2477">
        <w:t xml:space="preserve">Отже, товаром, який становить об’єкт аналізу, є електрична енергія. </w:t>
      </w:r>
    </w:p>
    <w:p w14:paraId="61F9BD2E" w14:textId="77777777" w:rsidR="008E2477" w:rsidRPr="008E2477" w:rsidRDefault="004B3A86" w:rsidP="008E2477">
      <w:pPr>
        <w:numPr>
          <w:ilvl w:val="0"/>
          <w:numId w:val="1"/>
        </w:numPr>
        <w:tabs>
          <w:tab w:val="clear" w:pos="360"/>
          <w:tab w:val="num" w:pos="567"/>
        </w:tabs>
        <w:spacing w:before="120" w:after="120"/>
        <w:ind w:left="567" w:hanging="567"/>
        <w:jc w:val="both"/>
      </w:pPr>
      <w:r w:rsidRPr="008E2477">
        <w:rPr>
          <w:color w:val="000000" w:themeColor="text1"/>
        </w:rPr>
        <w:t xml:space="preserve">Відповідно до Закону електрична енергія як товар обертається на ринку електричної енергії.  </w:t>
      </w:r>
    </w:p>
    <w:p w14:paraId="5AAD4520" w14:textId="71BACA8E" w:rsidR="008E2477" w:rsidRPr="008E2477" w:rsidRDefault="004B3A86" w:rsidP="008E2477">
      <w:pPr>
        <w:numPr>
          <w:ilvl w:val="0"/>
          <w:numId w:val="1"/>
        </w:numPr>
        <w:tabs>
          <w:tab w:val="clear" w:pos="360"/>
          <w:tab w:val="num" w:pos="567"/>
        </w:tabs>
        <w:spacing w:before="120" w:after="120"/>
        <w:ind w:left="567" w:hanging="567"/>
        <w:jc w:val="both"/>
      </w:pPr>
      <w:r w:rsidRPr="008E2477">
        <w:rPr>
          <w:color w:val="000000" w:themeColor="text1"/>
          <w:shd w:val="clear" w:color="auto" w:fill="FFFFFF"/>
        </w:rPr>
        <w:t xml:space="preserve">У розумінні Закону </w:t>
      </w:r>
      <w:r w:rsidRPr="008E2477">
        <w:rPr>
          <w:color w:val="000000" w:themeColor="text1"/>
        </w:rPr>
        <w:t xml:space="preserve">та Правил ринку, затверджених </w:t>
      </w:r>
      <w:r w:rsidR="00D7275F">
        <w:rPr>
          <w:color w:val="000000" w:themeColor="text1"/>
        </w:rPr>
        <w:t>п</w:t>
      </w:r>
      <w:r w:rsidR="00D7275F" w:rsidRPr="008E2477">
        <w:rPr>
          <w:color w:val="000000" w:themeColor="text1"/>
        </w:rPr>
        <w:t xml:space="preserve">остановою </w:t>
      </w:r>
      <w:r w:rsidRPr="008E2477">
        <w:rPr>
          <w:rStyle w:val="rvts9"/>
          <w:bCs/>
          <w:color w:val="000000" w:themeColor="text1"/>
          <w:shd w:val="clear" w:color="auto" w:fill="FFFFFF"/>
        </w:rPr>
        <w:t>НКРЕКП від</w:t>
      </w:r>
      <w:r w:rsidRPr="008E2477">
        <w:rPr>
          <w:color w:val="000000" w:themeColor="text1"/>
        </w:rPr>
        <w:t> </w:t>
      </w:r>
      <w:r w:rsidRPr="008E2477">
        <w:rPr>
          <w:rStyle w:val="rvts9"/>
          <w:bCs/>
          <w:color w:val="000000" w:themeColor="text1"/>
          <w:shd w:val="clear" w:color="auto" w:fill="FFFFFF"/>
        </w:rPr>
        <w:t xml:space="preserve">14.03.2018 № 307 </w:t>
      </w:r>
      <w:r w:rsidRPr="008E2477">
        <w:rPr>
          <w:rStyle w:val="rvts9"/>
          <w:bCs/>
          <w:shd w:val="clear" w:color="auto" w:fill="FFFFFF"/>
        </w:rPr>
        <w:t>(у редакції постанови НКРЕКП</w:t>
      </w:r>
      <w:r w:rsidRPr="008E2477">
        <w:t xml:space="preserve"> </w:t>
      </w:r>
      <w:r w:rsidRPr="008E2477">
        <w:rPr>
          <w:rStyle w:val="rvts9"/>
          <w:bCs/>
          <w:shd w:val="clear" w:color="auto" w:fill="FFFFFF"/>
        </w:rPr>
        <w:t>24.06.2019 № 1168)</w:t>
      </w:r>
      <w:r w:rsidRPr="008E2477">
        <w:rPr>
          <w:rStyle w:val="rvts9"/>
          <w:bCs/>
          <w:color w:val="000000" w:themeColor="text1"/>
          <w:shd w:val="clear" w:color="auto" w:fill="FFFFFF"/>
        </w:rPr>
        <w:t xml:space="preserve"> </w:t>
      </w:r>
      <w:r w:rsidR="00DA0187">
        <w:rPr>
          <w:rStyle w:val="rvts9"/>
          <w:bCs/>
          <w:color w:val="000000" w:themeColor="text1"/>
          <w:shd w:val="clear" w:color="auto" w:fill="FFFFFF"/>
        </w:rPr>
        <w:br/>
      </w:r>
      <w:r w:rsidRPr="008E2477">
        <w:rPr>
          <w:rStyle w:val="rvts9"/>
          <w:color w:val="000000" w:themeColor="text1"/>
          <w:shd w:val="clear" w:color="auto" w:fill="FFFFFF"/>
        </w:rPr>
        <w:t>(далі – Правила ринку),</w:t>
      </w:r>
      <w:r w:rsidRPr="008E2477">
        <w:rPr>
          <w:b/>
          <w:color w:val="000000" w:themeColor="text1"/>
        </w:rPr>
        <w:t xml:space="preserve"> </w:t>
      </w:r>
      <w:r w:rsidRPr="008E2477">
        <w:rPr>
          <w:color w:val="000000" w:themeColor="text1"/>
          <w:u w:val="single"/>
        </w:rPr>
        <w:t>купівля-продаж електричної енергії здійснюється на 5 окремих сегментах</w:t>
      </w:r>
      <w:r w:rsidR="00F06323">
        <w:rPr>
          <w:color w:val="000000" w:themeColor="text1"/>
          <w:u w:val="single"/>
        </w:rPr>
        <w:t xml:space="preserve"> ринку</w:t>
      </w:r>
      <w:r w:rsidRPr="008E2477">
        <w:rPr>
          <w:color w:val="000000" w:themeColor="text1"/>
          <w:u w:val="single"/>
        </w:rPr>
        <w:t xml:space="preserve">: ринку двосторонніх договорів, організованих сегментах: ринок </w:t>
      </w:r>
      <w:r w:rsidR="00B16081">
        <w:rPr>
          <w:color w:val="000000" w:themeColor="text1"/>
          <w:u w:val="single"/>
          <w:shd w:val="clear" w:color="auto" w:fill="FFFFFF"/>
        </w:rPr>
        <w:t>«</w:t>
      </w:r>
      <w:r w:rsidRPr="008E2477">
        <w:rPr>
          <w:color w:val="000000" w:themeColor="text1"/>
          <w:u w:val="single"/>
          <w:shd w:val="clear" w:color="auto" w:fill="FFFFFF"/>
        </w:rPr>
        <w:t>на добу наперед</w:t>
      </w:r>
      <w:r w:rsidR="00B16081">
        <w:rPr>
          <w:color w:val="000000" w:themeColor="text1"/>
          <w:u w:val="single"/>
          <w:shd w:val="clear" w:color="auto" w:fill="FFFFFF"/>
        </w:rPr>
        <w:t>»</w:t>
      </w:r>
      <w:r w:rsidRPr="008E2477">
        <w:rPr>
          <w:color w:val="000000" w:themeColor="text1"/>
          <w:u w:val="single"/>
          <w:shd w:val="clear" w:color="auto" w:fill="FFFFFF"/>
        </w:rPr>
        <w:t xml:space="preserve">, внутрішньодобовий ринок, балансуючий ринок та на роздрібному ринку, які у своїй сукупності разом </w:t>
      </w:r>
      <w:r w:rsidR="00B16081">
        <w:rPr>
          <w:color w:val="000000" w:themeColor="text1"/>
          <w:u w:val="single"/>
          <w:shd w:val="clear" w:color="auto" w:fill="FFFFFF"/>
        </w:rPr>
        <w:t>і</w:t>
      </w:r>
      <w:r w:rsidRPr="008E2477">
        <w:rPr>
          <w:color w:val="000000" w:themeColor="text1"/>
          <w:u w:val="single"/>
          <w:shd w:val="clear" w:color="auto" w:fill="FFFFFF"/>
        </w:rPr>
        <w:t>з ринком допоміжних послуг формують ринок електричної енергії.</w:t>
      </w:r>
    </w:p>
    <w:p w14:paraId="37964805" w14:textId="25F98ED1" w:rsidR="008E2477" w:rsidRPr="008E2477" w:rsidRDefault="004B3A86" w:rsidP="008E2477">
      <w:pPr>
        <w:numPr>
          <w:ilvl w:val="0"/>
          <w:numId w:val="1"/>
        </w:numPr>
        <w:tabs>
          <w:tab w:val="clear" w:pos="360"/>
          <w:tab w:val="num" w:pos="567"/>
        </w:tabs>
        <w:spacing w:before="120" w:after="120"/>
        <w:ind w:left="567" w:hanging="567"/>
        <w:jc w:val="both"/>
      </w:pPr>
      <w:r w:rsidRPr="008E2477">
        <w:rPr>
          <w:color w:val="000000" w:themeColor="text1"/>
        </w:rPr>
        <w:lastRenderedPageBreak/>
        <w:t xml:space="preserve">Разом </w:t>
      </w:r>
      <w:r w:rsidR="00B16081">
        <w:rPr>
          <w:color w:val="000000" w:themeColor="text1"/>
        </w:rPr>
        <w:t>і</w:t>
      </w:r>
      <w:r w:rsidRPr="008E2477">
        <w:rPr>
          <w:color w:val="000000" w:themeColor="text1"/>
        </w:rPr>
        <w:t xml:space="preserve">з тим різні товарні сегменти ринку електричної енергії відрізняються метою функціонування, умовами реалізації електричної енергії на них, що пояснюється відмінностями в їх нормативно-правовому регулюванні. </w:t>
      </w:r>
    </w:p>
    <w:p w14:paraId="09EB0831" w14:textId="77777777" w:rsidR="008E2477" w:rsidRDefault="004B3A86" w:rsidP="008E2477">
      <w:pPr>
        <w:numPr>
          <w:ilvl w:val="0"/>
          <w:numId w:val="1"/>
        </w:numPr>
        <w:tabs>
          <w:tab w:val="clear" w:pos="360"/>
          <w:tab w:val="num" w:pos="567"/>
        </w:tabs>
        <w:spacing w:before="120" w:after="120"/>
        <w:ind w:left="567" w:hanging="567"/>
        <w:jc w:val="both"/>
      </w:pPr>
      <w:r w:rsidRPr="008E2477">
        <w:rPr>
          <w:color w:val="000000" w:themeColor="text1"/>
        </w:rPr>
        <w:t xml:space="preserve">Відповідно до абзацу дванадцятого статті 1 Закону України «Про захист економічної конкуренції» </w:t>
      </w:r>
      <w:r w:rsidRPr="008E2477">
        <w:rPr>
          <w:bCs/>
          <w:color w:val="000000" w:themeColor="text1"/>
        </w:rPr>
        <w:t>ринок товару (товарний ринок)</w:t>
      </w:r>
      <w:r w:rsidRPr="008E2477">
        <w:rPr>
          <w:b/>
          <w:color w:val="000000" w:themeColor="text1"/>
        </w:rPr>
        <w:t xml:space="preserve"> </w:t>
      </w:r>
      <w:r w:rsidRPr="008E2477">
        <w:rPr>
          <w:color w:val="000000" w:themeColor="text1"/>
        </w:rPr>
        <w:t xml:space="preserve">– сфера обороту товару (взаємозамінних товарів), на який протягом певного часу і в межах певної території є попит і пропозиція. </w:t>
      </w:r>
    </w:p>
    <w:p w14:paraId="129D3AAA" w14:textId="05E8F5B6" w:rsidR="008E2477" w:rsidRDefault="00F06323" w:rsidP="008E2477">
      <w:pPr>
        <w:numPr>
          <w:ilvl w:val="0"/>
          <w:numId w:val="1"/>
        </w:numPr>
        <w:tabs>
          <w:tab w:val="clear" w:pos="360"/>
          <w:tab w:val="num" w:pos="567"/>
        </w:tabs>
        <w:spacing w:before="120" w:after="120"/>
        <w:ind w:left="567" w:hanging="567"/>
        <w:jc w:val="both"/>
      </w:pPr>
      <w:r>
        <w:rPr>
          <w:color w:val="000000" w:themeColor="text1"/>
        </w:rPr>
        <w:t xml:space="preserve">За </w:t>
      </w:r>
      <w:r w:rsidR="004B3A86" w:rsidRPr="008E2477">
        <w:rPr>
          <w:color w:val="000000" w:themeColor="text1"/>
        </w:rPr>
        <w:t xml:space="preserve">змістом діяльності на різних сегментах ринку електричної енергії можна виділити п’ять основних каналів формування попиту та пропозиції на електричну енергію: ринок двосторонніх договорів, ринок </w:t>
      </w:r>
      <w:r w:rsidR="00B16081">
        <w:rPr>
          <w:color w:val="000000" w:themeColor="text1"/>
          <w:shd w:val="clear" w:color="auto" w:fill="FFFFFF"/>
        </w:rPr>
        <w:t>«</w:t>
      </w:r>
      <w:r w:rsidR="004B3A86" w:rsidRPr="008E2477">
        <w:rPr>
          <w:color w:val="000000" w:themeColor="text1"/>
          <w:shd w:val="clear" w:color="auto" w:fill="FFFFFF"/>
        </w:rPr>
        <w:t>на добу наперед</w:t>
      </w:r>
      <w:r w:rsidR="00B16081">
        <w:rPr>
          <w:color w:val="000000" w:themeColor="text1"/>
          <w:shd w:val="clear" w:color="auto" w:fill="FFFFFF"/>
        </w:rPr>
        <w:t>»</w:t>
      </w:r>
      <w:r w:rsidR="004B3A86" w:rsidRPr="008E2477">
        <w:rPr>
          <w:color w:val="000000" w:themeColor="text1"/>
          <w:shd w:val="clear" w:color="auto" w:fill="FFFFFF"/>
        </w:rPr>
        <w:t xml:space="preserve">, внутрішньодобовий ринок, балансуючий ринок та роздрібний ринок. </w:t>
      </w:r>
    </w:p>
    <w:p w14:paraId="6133E910" w14:textId="22DA11D9" w:rsidR="008E2477" w:rsidRDefault="008E2477" w:rsidP="008E2477">
      <w:pPr>
        <w:numPr>
          <w:ilvl w:val="0"/>
          <w:numId w:val="1"/>
        </w:numPr>
        <w:tabs>
          <w:tab w:val="clear" w:pos="360"/>
          <w:tab w:val="num" w:pos="567"/>
        </w:tabs>
        <w:spacing w:before="120" w:after="120"/>
        <w:ind w:left="567" w:hanging="567"/>
        <w:jc w:val="both"/>
      </w:pPr>
      <w:r w:rsidRPr="00AC7127">
        <w:t>Отже,</w:t>
      </w:r>
      <w:r w:rsidR="00E5711F">
        <w:t xml:space="preserve"> </w:t>
      </w:r>
      <w:r w:rsidRPr="00AC7127">
        <w:t>товарними межами ринку</w:t>
      </w:r>
      <w:r w:rsidR="00B16081">
        <w:t xml:space="preserve">, </w:t>
      </w:r>
      <w:r w:rsidR="00E5711F">
        <w:t xml:space="preserve">на якому </w:t>
      </w:r>
      <w:r w:rsidR="00B16081">
        <w:t xml:space="preserve">наявні </w:t>
      </w:r>
      <w:r w:rsidR="00E5711F">
        <w:t xml:space="preserve">відносини між Товариством та постачальниками під час </w:t>
      </w:r>
      <w:r w:rsidR="00B16081">
        <w:t xml:space="preserve">укладання </w:t>
      </w:r>
      <w:r w:rsidR="00E5550C">
        <w:t>двосторонніх договорів</w:t>
      </w:r>
      <w:r w:rsidR="00B16081">
        <w:t>,</w:t>
      </w:r>
      <w:r w:rsidRPr="00AC7127">
        <w:t xml:space="preserve"> </w:t>
      </w:r>
      <w:r w:rsidR="00F06323">
        <w:t>є</w:t>
      </w:r>
      <w:r w:rsidRPr="00AC7127">
        <w:t xml:space="preserve"> ринок двосторонніх договорів </w:t>
      </w:r>
      <w:r w:rsidRPr="008E2477">
        <w:rPr>
          <w:shd w:val="clear" w:color="auto" w:fill="FFFFFF"/>
        </w:rPr>
        <w:t>купівлі-продажу електричної енергії (далі – ринок двосторонніх договорів, РДД)</w:t>
      </w:r>
      <w:r w:rsidRPr="00AC7127">
        <w:t>.</w:t>
      </w:r>
    </w:p>
    <w:p w14:paraId="308598AF" w14:textId="6D34A368" w:rsidR="008E2477" w:rsidRPr="008E2477" w:rsidRDefault="008E2477" w:rsidP="00E5550C">
      <w:pPr>
        <w:spacing w:before="120" w:after="120"/>
        <w:ind w:left="567"/>
        <w:jc w:val="both"/>
        <w:rPr>
          <w:b/>
          <w:i/>
          <w:iCs/>
          <w:shd w:val="clear" w:color="auto" w:fill="FFFFFF"/>
        </w:rPr>
      </w:pPr>
      <w:r w:rsidRPr="008E2477">
        <w:rPr>
          <w:b/>
          <w:i/>
          <w:iCs/>
          <w:shd w:val="clear" w:color="auto" w:fill="FFFFFF"/>
        </w:rPr>
        <w:t xml:space="preserve">Територіальні межі ринку </w:t>
      </w:r>
    </w:p>
    <w:p w14:paraId="5A89522D" w14:textId="22EB68AF" w:rsidR="008E2477" w:rsidRPr="00E5550C" w:rsidRDefault="008E2477" w:rsidP="00E5550C">
      <w:pPr>
        <w:numPr>
          <w:ilvl w:val="0"/>
          <w:numId w:val="1"/>
        </w:numPr>
        <w:tabs>
          <w:tab w:val="clear" w:pos="360"/>
          <w:tab w:val="num" w:pos="567"/>
        </w:tabs>
        <w:spacing w:before="120" w:after="120"/>
        <w:ind w:left="567" w:hanging="567"/>
        <w:jc w:val="both"/>
      </w:pPr>
      <w:r w:rsidRPr="008E2477">
        <w:rPr>
          <w:color w:val="000000" w:themeColor="text1"/>
        </w:rPr>
        <w:t xml:space="preserve">Визначення територіальних (географічних) меж ринку двосторонніх договорів  здійснювалося відповідно до пункту 6.1 розділу 6 Методики шляхом установлення мінімальної території, за межами якої з точки зору споживача придбання товарів (товарної групи), що належать до групи взаємозамінних товарів товарної групи), є </w:t>
      </w:r>
      <w:r w:rsidRPr="00E5550C">
        <w:t>неможливим або недоцільним.</w:t>
      </w:r>
    </w:p>
    <w:p w14:paraId="0626D9AA" w14:textId="0DC407FC" w:rsidR="008E2477" w:rsidRPr="00E5550C" w:rsidRDefault="008E2477" w:rsidP="00E5550C">
      <w:pPr>
        <w:numPr>
          <w:ilvl w:val="0"/>
          <w:numId w:val="1"/>
        </w:numPr>
        <w:tabs>
          <w:tab w:val="clear" w:pos="360"/>
          <w:tab w:val="num" w:pos="567"/>
        </w:tabs>
        <w:spacing w:before="120" w:after="120"/>
        <w:ind w:left="567" w:hanging="567"/>
        <w:jc w:val="both"/>
      </w:pPr>
      <w:r w:rsidRPr="00E5550C">
        <w:rPr>
          <w:shd w:val="clear" w:color="auto" w:fill="FFFFFF"/>
        </w:rPr>
        <w:t xml:space="preserve">Відповідно до пункту 51 </w:t>
      </w:r>
      <w:r w:rsidRPr="00E5550C">
        <w:rPr>
          <w:iCs/>
          <w:shd w:val="clear" w:color="auto" w:fill="FFFFFF"/>
        </w:rPr>
        <w:t xml:space="preserve">частини першої статті 1  Закону </w:t>
      </w:r>
      <w:r w:rsidRPr="00E5550C">
        <w:rPr>
          <w:shd w:val="clear" w:color="auto" w:fill="FFFFFF"/>
        </w:rPr>
        <w:t xml:space="preserve">об’єднана енергетична система України (далі – «ОЕС України») </w:t>
      </w:r>
      <w:r w:rsidR="00DD2F77">
        <w:rPr>
          <w:shd w:val="clear" w:color="auto" w:fill="FFFFFF"/>
        </w:rPr>
        <w:t>−</w:t>
      </w:r>
      <w:r w:rsidRPr="00E5550C">
        <w:rPr>
          <w:shd w:val="clear" w:color="auto" w:fill="FFFFFF"/>
        </w:rPr>
        <w:t xml:space="preserve"> сукупність електростанцій, електричних мереж, інших об’єктів електроенергетики, що об’єднані спільним режимом виробництва, передачі та розподілу електричної енергії при централізованому управлінні цим режимом.</w:t>
      </w:r>
    </w:p>
    <w:p w14:paraId="6FB59870" w14:textId="77777777" w:rsidR="008E2477" w:rsidRDefault="008E2477" w:rsidP="00E5550C">
      <w:pPr>
        <w:numPr>
          <w:ilvl w:val="0"/>
          <w:numId w:val="1"/>
        </w:numPr>
        <w:tabs>
          <w:tab w:val="clear" w:pos="360"/>
          <w:tab w:val="num" w:pos="567"/>
        </w:tabs>
        <w:spacing w:before="120" w:after="120"/>
        <w:ind w:left="567" w:hanging="567"/>
        <w:jc w:val="both"/>
        <w:rPr>
          <w:color w:val="000000" w:themeColor="text1"/>
        </w:rPr>
      </w:pPr>
      <w:r w:rsidRPr="008E2477">
        <w:rPr>
          <w:color w:val="000000" w:themeColor="text1"/>
        </w:rPr>
        <w:t xml:space="preserve">Відповідно до абзацу сорок першого </w:t>
      </w:r>
      <w:r w:rsidRPr="00E27155">
        <w:rPr>
          <w:rStyle w:val="rvts46"/>
          <w:color w:val="000000" w:themeColor="text1"/>
        </w:rPr>
        <w:t>пункту 1.1.2</w:t>
      </w:r>
      <w:r w:rsidRPr="008E2477">
        <w:rPr>
          <w:rStyle w:val="rvts46"/>
          <w:color w:val="000000" w:themeColor="text1"/>
        </w:rPr>
        <w:t xml:space="preserve"> глави 1.1 розділу I Правил ринку, </w:t>
      </w:r>
      <w:r w:rsidRPr="008E2477">
        <w:rPr>
          <w:color w:val="000000" w:themeColor="text1"/>
        </w:rPr>
        <w:t>торгова зона (зона) – відокремлена зона, визначена оператором системи передачі за погодженням з Регулятором, у якій здійснюється синхронна робота електроустановок.</w:t>
      </w:r>
    </w:p>
    <w:p w14:paraId="13B9A4DF" w14:textId="3BEAA8CD" w:rsidR="008E2477" w:rsidRDefault="008E2477" w:rsidP="00E5550C">
      <w:pPr>
        <w:numPr>
          <w:ilvl w:val="0"/>
          <w:numId w:val="1"/>
        </w:numPr>
        <w:tabs>
          <w:tab w:val="clear" w:pos="360"/>
          <w:tab w:val="num" w:pos="567"/>
        </w:tabs>
        <w:spacing w:before="120" w:after="120"/>
        <w:ind w:left="567" w:hanging="567"/>
        <w:jc w:val="both"/>
        <w:rPr>
          <w:color w:val="000000" w:themeColor="text1"/>
        </w:rPr>
      </w:pPr>
      <w:r w:rsidRPr="008E2477">
        <w:rPr>
          <w:color w:val="000000" w:themeColor="text1"/>
        </w:rPr>
        <w:t>Постановою НКРЕКП від 27.06.2019 № 1307 (</w:t>
      </w:r>
      <w:hyperlink r:id="rId10" w:tgtFrame="_blank" w:history="1">
        <w:r w:rsidRPr="008E2477">
          <w:rPr>
            <w:rStyle w:val="af2"/>
            <w:color w:val="000000" w:themeColor="text1"/>
          </w:rPr>
          <w:t>у редакції від 27.06.2019)</w:t>
        </w:r>
      </w:hyperlink>
      <w:r w:rsidRPr="001F2D06">
        <w:rPr>
          <w:rStyle w:val="af1"/>
          <w:color w:val="000000" w:themeColor="text1"/>
        </w:rPr>
        <w:footnoteReference w:id="1"/>
      </w:r>
      <w:r w:rsidRPr="008E2477">
        <w:rPr>
          <w:color w:val="000000" w:themeColor="text1"/>
        </w:rPr>
        <w:t xml:space="preserve"> «Про погодження визначених ДП «НЕК «Укренерго» торгових зон», погоджено</w:t>
      </w:r>
      <w:r w:rsidRPr="008E2477">
        <w:rPr>
          <w:color w:val="000000" w:themeColor="text1"/>
          <w:shd w:val="clear" w:color="auto" w:fill="FFFFFF"/>
        </w:rPr>
        <w:t xml:space="preserve"> визначені ДП «НЕК «Укренерго» дві відокремлені зони в межах України </w:t>
      </w:r>
      <w:r w:rsidR="00DD2F77">
        <w:rPr>
          <w:color w:val="000000" w:themeColor="text1"/>
          <w:shd w:val="clear" w:color="auto" w:fill="FFFFFF"/>
        </w:rPr>
        <w:t>−</w:t>
      </w:r>
      <w:r w:rsidRPr="008E2477">
        <w:rPr>
          <w:color w:val="000000" w:themeColor="text1"/>
          <w:shd w:val="clear" w:color="auto" w:fill="FFFFFF"/>
        </w:rPr>
        <w:t xml:space="preserve"> торгову зону «Острів Бурштинської ТЕС» </w:t>
      </w:r>
      <w:r w:rsidR="00DD2F77">
        <w:rPr>
          <w:color w:val="000000" w:themeColor="text1"/>
          <w:shd w:val="clear" w:color="auto" w:fill="FFFFFF"/>
        </w:rPr>
        <w:t>і</w:t>
      </w:r>
      <w:r w:rsidR="00DD2F77" w:rsidRPr="008E2477">
        <w:rPr>
          <w:color w:val="000000" w:themeColor="text1"/>
          <w:shd w:val="clear" w:color="auto" w:fill="FFFFFF"/>
        </w:rPr>
        <w:t xml:space="preserve"> </w:t>
      </w:r>
      <w:r w:rsidRPr="008E2477">
        <w:rPr>
          <w:color w:val="000000" w:themeColor="text1"/>
          <w:shd w:val="clear" w:color="auto" w:fill="FFFFFF"/>
        </w:rPr>
        <w:t>торгову зону «ОЕС України».</w:t>
      </w:r>
    </w:p>
    <w:p w14:paraId="568892D2" w14:textId="02397EE6" w:rsidR="008E2477" w:rsidRPr="008E2477" w:rsidRDefault="008E2477" w:rsidP="00E5550C">
      <w:pPr>
        <w:numPr>
          <w:ilvl w:val="0"/>
          <w:numId w:val="1"/>
        </w:numPr>
        <w:tabs>
          <w:tab w:val="clear" w:pos="360"/>
          <w:tab w:val="num" w:pos="567"/>
        </w:tabs>
        <w:spacing w:before="120" w:after="120"/>
        <w:ind w:left="567" w:hanging="567"/>
        <w:jc w:val="both"/>
        <w:rPr>
          <w:color w:val="000000" w:themeColor="text1"/>
        </w:rPr>
      </w:pPr>
      <w:r w:rsidRPr="008E2477">
        <w:rPr>
          <w:color w:val="000000" w:themeColor="text1"/>
          <w:shd w:val="clear" w:color="auto" w:fill="FFFFFF"/>
        </w:rPr>
        <w:t xml:space="preserve">Відповідно до </w:t>
      </w:r>
      <w:r w:rsidR="00175F3C" w:rsidRPr="00FC148C">
        <w:t>[</w:t>
      </w:r>
      <w:r w:rsidR="00175F3C">
        <w:t>к</w:t>
      </w:r>
      <w:r w:rsidR="00175F3C" w:rsidRPr="00FC148C">
        <w:rPr>
          <w:i/>
        </w:rPr>
        <w:t>онфіденційна інформація</w:t>
      </w:r>
      <w:r w:rsidR="00175F3C" w:rsidRPr="00FC148C">
        <w:t>]</w:t>
      </w:r>
      <w:r w:rsidR="00175F3C" w:rsidRPr="00175F3C">
        <w:t xml:space="preserve"> </w:t>
      </w:r>
      <w:r w:rsidRPr="008E2477">
        <w:rPr>
          <w:u w:val="single"/>
        </w:rPr>
        <w:t>електрична енергія продається в торговій зоні «ОЕС України»</w:t>
      </w:r>
      <w:r w:rsidR="00616A37">
        <w:rPr>
          <w:u w:val="single"/>
        </w:rPr>
        <w:t>, яка охоплює межі Укра</w:t>
      </w:r>
      <w:r w:rsidR="00D23F14">
        <w:rPr>
          <w:u w:val="single"/>
        </w:rPr>
        <w:t>їни</w:t>
      </w:r>
      <w:r>
        <w:t>.</w:t>
      </w:r>
    </w:p>
    <w:p w14:paraId="36F254F7" w14:textId="0FD0E3EA" w:rsidR="008E2477" w:rsidRPr="008E2477" w:rsidRDefault="008E2477" w:rsidP="00E5550C">
      <w:pPr>
        <w:numPr>
          <w:ilvl w:val="0"/>
          <w:numId w:val="1"/>
        </w:numPr>
        <w:tabs>
          <w:tab w:val="clear" w:pos="360"/>
          <w:tab w:val="num" w:pos="567"/>
        </w:tabs>
        <w:spacing w:before="120" w:after="120"/>
        <w:ind w:left="567" w:hanging="567"/>
        <w:jc w:val="both"/>
        <w:rPr>
          <w:color w:val="000000" w:themeColor="text1"/>
        </w:rPr>
      </w:pPr>
      <w:r w:rsidRPr="006055FB">
        <w:t>Враховуючи</w:t>
      </w:r>
      <w:r>
        <w:t xml:space="preserve"> наведене</w:t>
      </w:r>
      <w:r w:rsidRPr="006055FB">
        <w:t xml:space="preserve">, </w:t>
      </w:r>
      <w:r>
        <w:t xml:space="preserve">придбання електроенергії </w:t>
      </w:r>
      <w:r w:rsidR="00DD2F77">
        <w:t xml:space="preserve">Електропостачальники </w:t>
      </w:r>
      <w:r>
        <w:t>здійснювал</w:t>
      </w:r>
      <w:r w:rsidR="00DD2F77">
        <w:t>и</w:t>
      </w:r>
      <w:r w:rsidRPr="008E2477">
        <w:rPr>
          <w:lang w:val="ru-RU"/>
        </w:rPr>
        <w:t xml:space="preserve"> </w:t>
      </w:r>
      <w:r>
        <w:t xml:space="preserve">в межах </w:t>
      </w:r>
      <w:r w:rsidRPr="006055FB">
        <w:t>торгової зони «ОЕС України»</w:t>
      </w:r>
      <w:r>
        <w:t xml:space="preserve">. </w:t>
      </w:r>
    </w:p>
    <w:p w14:paraId="22C34FD3" w14:textId="17607F88" w:rsidR="008E2477" w:rsidRPr="008E2477" w:rsidRDefault="008E2477" w:rsidP="00E5550C">
      <w:pPr>
        <w:numPr>
          <w:ilvl w:val="0"/>
          <w:numId w:val="1"/>
        </w:numPr>
        <w:tabs>
          <w:tab w:val="clear" w:pos="360"/>
          <w:tab w:val="num" w:pos="567"/>
        </w:tabs>
        <w:spacing w:before="120" w:after="120"/>
        <w:ind w:left="567" w:hanging="567"/>
        <w:jc w:val="both"/>
        <w:rPr>
          <w:color w:val="000000" w:themeColor="text1"/>
        </w:rPr>
      </w:pPr>
      <w:r>
        <w:t>Відповідно, мінімальна територія, за межами якої, з точки зору споживача, придбання електроенергії є неможливим або недоцільним, а</w:t>
      </w:r>
      <w:r w:rsidR="00DD2F77">
        <w:t>,</w:t>
      </w:r>
      <w:r>
        <w:t xml:space="preserve"> відповідно</w:t>
      </w:r>
      <w:r w:rsidR="00DD2F77">
        <w:t>,</w:t>
      </w:r>
      <w:r>
        <w:t xml:space="preserve"> і територіальними межами ринку двосторонніх договорів є територія торгової зони </w:t>
      </w:r>
      <w:r w:rsidRPr="006055FB">
        <w:t>«ОЕС України»</w:t>
      </w:r>
      <w:r>
        <w:t xml:space="preserve">. </w:t>
      </w:r>
    </w:p>
    <w:p w14:paraId="3A91BE89" w14:textId="10B879D5" w:rsidR="008E2477" w:rsidRPr="008E2477" w:rsidRDefault="008E2477" w:rsidP="00747F7D">
      <w:pPr>
        <w:ind w:left="567"/>
        <w:rPr>
          <w:b/>
          <w:i/>
          <w:iCs/>
        </w:rPr>
      </w:pPr>
      <w:r w:rsidRPr="008E2477">
        <w:rPr>
          <w:b/>
          <w:i/>
          <w:iCs/>
        </w:rPr>
        <w:t xml:space="preserve">Часові межі ринку </w:t>
      </w:r>
      <w:r w:rsidR="00441AEB">
        <w:rPr>
          <w:b/>
          <w:i/>
          <w:iCs/>
        </w:rPr>
        <w:t>та розрахунок часток</w:t>
      </w:r>
    </w:p>
    <w:p w14:paraId="41B11AB8" w14:textId="5BC4436D" w:rsidR="008E2477" w:rsidRPr="008E2477" w:rsidRDefault="008E2477" w:rsidP="008E2477">
      <w:pPr>
        <w:numPr>
          <w:ilvl w:val="0"/>
          <w:numId w:val="1"/>
        </w:numPr>
        <w:tabs>
          <w:tab w:val="clear" w:pos="360"/>
          <w:tab w:val="num" w:pos="567"/>
        </w:tabs>
        <w:spacing w:before="120" w:after="120"/>
        <w:ind w:left="567" w:hanging="567"/>
        <w:jc w:val="both"/>
      </w:pPr>
      <w:r w:rsidRPr="008E2477">
        <w:t xml:space="preserve">Згідно з пунктом 7.1 Методики часові межі ринку визначаються як проміжок часу (як правило - рік), протягом якого відповідна сукупність товарно-грошових відносин між продавцями (постачальниками, виробниками) і споживачами утворює ринок товару із сталою структурою.  </w:t>
      </w:r>
    </w:p>
    <w:p w14:paraId="7DCE1A8A" w14:textId="24487A84" w:rsidR="008E2477" w:rsidRDefault="008E2477" w:rsidP="008E2477">
      <w:pPr>
        <w:numPr>
          <w:ilvl w:val="0"/>
          <w:numId w:val="1"/>
        </w:numPr>
        <w:tabs>
          <w:tab w:val="clear" w:pos="360"/>
          <w:tab w:val="num" w:pos="567"/>
        </w:tabs>
        <w:spacing w:before="120" w:after="120"/>
        <w:ind w:left="567" w:hanging="567"/>
        <w:jc w:val="both"/>
      </w:pPr>
      <w:r w:rsidRPr="008E2477">
        <w:lastRenderedPageBreak/>
        <w:t xml:space="preserve">Часові межі товарного ринку визначалися виходячи з мети розгляду Клопотання таким чином, щоб охоплювати період, протягом якого </w:t>
      </w:r>
      <w:r w:rsidR="00DD2F77" w:rsidRPr="008E2477">
        <w:t>укладалис</w:t>
      </w:r>
      <w:r w:rsidR="00DD2F77">
        <w:t>я</w:t>
      </w:r>
      <w:r w:rsidR="00DD2F77" w:rsidRPr="008E2477">
        <w:t xml:space="preserve"> </w:t>
      </w:r>
      <w:r w:rsidRPr="008E2477">
        <w:t xml:space="preserve">Договори між ТОВ «ЮТІЛІТІ ТРЕЙДІНГ» та Електропостачальниками, а саме: лютий </w:t>
      </w:r>
      <w:r w:rsidR="00C107B6">
        <w:t>−</w:t>
      </w:r>
      <w:r w:rsidRPr="008E2477">
        <w:t xml:space="preserve"> травень 2021 року. </w:t>
      </w:r>
    </w:p>
    <w:p w14:paraId="36AB6289" w14:textId="0B90F00D" w:rsidR="008E2477" w:rsidRDefault="008E2477" w:rsidP="008E2477">
      <w:pPr>
        <w:numPr>
          <w:ilvl w:val="0"/>
          <w:numId w:val="1"/>
        </w:numPr>
        <w:tabs>
          <w:tab w:val="clear" w:pos="360"/>
          <w:tab w:val="num" w:pos="567"/>
        </w:tabs>
        <w:spacing w:before="120" w:after="120"/>
        <w:ind w:left="567" w:hanging="567"/>
        <w:jc w:val="both"/>
      </w:pPr>
      <w:r w:rsidRPr="008E2477">
        <w:rPr>
          <w:shd w:val="clear" w:color="auto" w:fill="FFFFFF"/>
        </w:rPr>
        <w:t xml:space="preserve">При цьому під час визначення часових меж ринку </w:t>
      </w:r>
      <w:r w:rsidR="00DD2F77" w:rsidRPr="008E2477">
        <w:rPr>
          <w:shd w:val="clear" w:color="auto" w:fill="FFFFFF"/>
        </w:rPr>
        <w:t>враховувалас</w:t>
      </w:r>
      <w:r w:rsidR="00DD2F77">
        <w:rPr>
          <w:shd w:val="clear" w:color="auto" w:fill="FFFFFF"/>
        </w:rPr>
        <w:t>я</w:t>
      </w:r>
      <w:r w:rsidR="00DD2F77" w:rsidRPr="008E2477">
        <w:rPr>
          <w:shd w:val="clear" w:color="auto" w:fill="FFFFFF"/>
        </w:rPr>
        <w:t xml:space="preserve"> </w:t>
      </w:r>
      <w:r w:rsidRPr="008E2477">
        <w:rPr>
          <w:shd w:val="clear" w:color="auto" w:fill="FFFFFF"/>
        </w:rPr>
        <w:t xml:space="preserve">специфіка купівлі-продажу електричної енергії на ринку двосторонніх договорів. </w:t>
      </w:r>
    </w:p>
    <w:p w14:paraId="042A782D" w14:textId="5255CAE2" w:rsidR="008E2477" w:rsidRDefault="008E2477" w:rsidP="008E2477">
      <w:pPr>
        <w:numPr>
          <w:ilvl w:val="0"/>
          <w:numId w:val="1"/>
        </w:numPr>
        <w:tabs>
          <w:tab w:val="clear" w:pos="360"/>
          <w:tab w:val="num" w:pos="567"/>
        </w:tabs>
        <w:spacing w:before="120" w:after="120"/>
        <w:ind w:left="567" w:hanging="567"/>
        <w:jc w:val="both"/>
      </w:pPr>
      <w:r w:rsidRPr="009D6320">
        <w:t xml:space="preserve">Так, відповідно до частини першої статті 66 Закону </w:t>
      </w:r>
      <w:r w:rsidRPr="007A243B">
        <w:t>купівлю-продаж електричної енергії за двосторонніми договорами здійснюють виробники, електропостачальники, оператор системи передачі, оператори систем розподілу, трейдери, гарантований покупець, оператори установок зберігання енергії та споживачі.</w:t>
      </w:r>
    </w:p>
    <w:p w14:paraId="19F34FCA" w14:textId="405527BA" w:rsidR="008E2477" w:rsidRDefault="008E2477" w:rsidP="008E2477">
      <w:pPr>
        <w:numPr>
          <w:ilvl w:val="0"/>
          <w:numId w:val="1"/>
        </w:numPr>
        <w:tabs>
          <w:tab w:val="clear" w:pos="360"/>
          <w:tab w:val="num" w:pos="567"/>
        </w:tabs>
        <w:spacing w:before="120" w:after="120"/>
        <w:ind w:left="567" w:hanging="567"/>
        <w:jc w:val="both"/>
      </w:pPr>
      <w:r w:rsidRPr="008E2477">
        <w:rPr>
          <w:shd w:val="clear" w:color="auto" w:fill="FFFFFF"/>
        </w:rPr>
        <w:t>Учасники ринку мають право вільно обирати контрагентів за двосторонніми договорами, укладати ці договори у довільній формі та на умовах, що визначаються за домовленістю сторін</w:t>
      </w:r>
      <w:r w:rsidR="00C107B6">
        <w:rPr>
          <w:shd w:val="clear" w:color="auto" w:fill="FFFFFF"/>
        </w:rPr>
        <w:t>,</w:t>
      </w:r>
      <w:r w:rsidRPr="008E2477">
        <w:rPr>
          <w:shd w:val="clear" w:color="auto" w:fill="FFFFFF"/>
        </w:rPr>
        <w:t xml:space="preserve"> з урахуванням обмежень, визначених у частині другій статті</w:t>
      </w:r>
      <w:r w:rsidR="00DD2F77">
        <w:rPr>
          <w:shd w:val="clear" w:color="auto" w:fill="FFFFFF"/>
        </w:rPr>
        <w:t> </w:t>
      </w:r>
      <w:r w:rsidRPr="008E2477">
        <w:rPr>
          <w:shd w:val="clear" w:color="auto" w:fill="FFFFFF"/>
        </w:rPr>
        <w:t>66 Закону.</w:t>
      </w:r>
    </w:p>
    <w:p w14:paraId="7E62A626" w14:textId="7F37F3FA" w:rsidR="008E2477" w:rsidRDefault="008E2477" w:rsidP="008E2477">
      <w:pPr>
        <w:numPr>
          <w:ilvl w:val="0"/>
          <w:numId w:val="1"/>
        </w:numPr>
        <w:tabs>
          <w:tab w:val="clear" w:pos="360"/>
          <w:tab w:val="num" w:pos="567"/>
        </w:tabs>
        <w:spacing w:before="120" w:after="120"/>
        <w:ind w:left="567" w:hanging="567"/>
        <w:jc w:val="both"/>
      </w:pPr>
      <w:r w:rsidRPr="008E2477">
        <w:rPr>
          <w:u w:val="single"/>
        </w:rPr>
        <w:t xml:space="preserve">При цьому Закон не встановлює </w:t>
      </w:r>
      <w:r w:rsidR="00DD2F77" w:rsidRPr="008E2477">
        <w:rPr>
          <w:u w:val="single"/>
        </w:rPr>
        <w:t>проміж</w:t>
      </w:r>
      <w:r w:rsidR="00DD2F77">
        <w:rPr>
          <w:u w:val="single"/>
        </w:rPr>
        <w:t>ку</w:t>
      </w:r>
      <w:r w:rsidR="00DD2F77" w:rsidRPr="008E2477">
        <w:rPr>
          <w:u w:val="single"/>
        </w:rPr>
        <w:t xml:space="preserve"> </w:t>
      </w:r>
      <w:r w:rsidRPr="008E2477">
        <w:rPr>
          <w:u w:val="single"/>
        </w:rPr>
        <w:t xml:space="preserve">часу чи </w:t>
      </w:r>
      <w:r w:rsidR="00DD2F77" w:rsidRPr="008E2477">
        <w:rPr>
          <w:u w:val="single"/>
        </w:rPr>
        <w:t>часов</w:t>
      </w:r>
      <w:r w:rsidR="00DD2F77">
        <w:rPr>
          <w:u w:val="single"/>
        </w:rPr>
        <w:t>ого</w:t>
      </w:r>
      <w:r w:rsidR="00DD2F77" w:rsidRPr="008E2477">
        <w:rPr>
          <w:u w:val="single"/>
        </w:rPr>
        <w:t xml:space="preserve"> </w:t>
      </w:r>
      <w:r w:rsidRPr="008E2477">
        <w:rPr>
          <w:u w:val="single"/>
        </w:rPr>
        <w:t>період</w:t>
      </w:r>
      <w:r w:rsidR="00DD2F77">
        <w:rPr>
          <w:u w:val="single"/>
        </w:rPr>
        <w:t>у</w:t>
      </w:r>
      <w:r w:rsidRPr="008E2477">
        <w:rPr>
          <w:u w:val="single"/>
        </w:rPr>
        <w:t xml:space="preserve">, протягом якого двосторонні договори мають бути укладеними. </w:t>
      </w:r>
    </w:p>
    <w:p w14:paraId="043A11C8" w14:textId="47800BE7" w:rsidR="008E2477" w:rsidRDefault="008E2477" w:rsidP="008E2477">
      <w:pPr>
        <w:numPr>
          <w:ilvl w:val="0"/>
          <w:numId w:val="1"/>
        </w:numPr>
        <w:tabs>
          <w:tab w:val="clear" w:pos="360"/>
          <w:tab w:val="num" w:pos="567"/>
        </w:tabs>
        <w:spacing w:before="120" w:after="120"/>
        <w:ind w:left="567" w:hanging="567"/>
        <w:jc w:val="both"/>
      </w:pPr>
      <w:r w:rsidRPr="008D1C7C">
        <w:t xml:space="preserve">Відповідно до </w:t>
      </w:r>
      <w:r w:rsidRPr="00E27155">
        <w:t xml:space="preserve">пунктів 2.1.1 </w:t>
      </w:r>
      <w:r w:rsidR="00DD2F77" w:rsidRPr="00E27155">
        <w:t>−</w:t>
      </w:r>
      <w:r w:rsidRPr="00E27155">
        <w:t xml:space="preserve"> 2.1.3 </w:t>
      </w:r>
      <w:r w:rsidR="00D23F14" w:rsidRPr="00E27155">
        <w:t>глави</w:t>
      </w:r>
      <w:r w:rsidRPr="00E27155">
        <w:t xml:space="preserve"> 2.1 </w:t>
      </w:r>
      <w:r w:rsidR="00D23F14" w:rsidRPr="00E27155">
        <w:t>розділу</w:t>
      </w:r>
      <w:r w:rsidR="00D23F14" w:rsidRPr="00D23F14">
        <w:t xml:space="preserve"> </w:t>
      </w:r>
      <w:r w:rsidR="00D23F14" w:rsidRPr="00D23F14">
        <w:rPr>
          <w:bCs/>
          <w:color w:val="333333"/>
          <w:shd w:val="clear" w:color="auto" w:fill="FFFFFF"/>
        </w:rPr>
        <w:t>II</w:t>
      </w:r>
      <w:r w:rsidR="00D23F14">
        <w:rPr>
          <w:bCs/>
          <w:color w:val="333333"/>
          <w:shd w:val="clear" w:color="auto" w:fill="FFFFFF"/>
        </w:rPr>
        <w:t xml:space="preserve"> </w:t>
      </w:r>
      <w:r w:rsidRPr="00D23F14">
        <w:t>Прав</w:t>
      </w:r>
      <w:r w:rsidRPr="008D1C7C">
        <w:t xml:space="preserve">ил ринку торгівля на РДД здійснюється виключно на двосторонній основі шляхом укладання </w:t>
      </w:r>
      <w:r w:rsidR="00E5550C">
        <w:t>двосторонніх договорів (далі – ДД)</w:t>
      </w:r>
      <w:r w:rsidRPr="008D1C7C">
        <w:t>. Істотною умовою договору повинна бути відповідальність за небаланс, що може спричинити невиконання такого договору.</w:t>
      </w:r>
      <w:bookmarkStart w:id="2" w:name="n3509"/>
      <w:bookmarkEnd w:id="2"/>
      <w:r w:rsidRPr="008D1C7C">
        <w:t xml:space="preserve"> Усі учасники ринку мають право брати </w:t>
      </w:r>
      <w:r w:rsidRPr="002D2D58">
        <w:t>участь на РДД</w:t>
      </w:r>
      <w:r w:rsidRPr="008D1C7C">
        <w:t xml:space="preserve"> за умови, що вони дотримуються цих Правил та вимог </w:t>
      </w:r>
      <w:hyperlink r:id="rId11" w:tgtFrame="_blank" w:history="1">
        <w:r w:rsidRPr="008D1C7C">
          <w:rPr>
            <w:rStyle w:val="af2"/>
          </w:rPr>
          <w:t>Закону</w:t>
        </w:r>
      </w:hyperlink>
      <w:r w:rsidRPr="008D1C7C">
        <w:t>.</w:t>
      </w:r>
      <w:r>
        <w:t xml:space="preserve"> </w:t>
      </w:r>
      <w:r w:rsidRPr="008E2477">
        <w:rPr>
          <w:shd w:val="clear" w:color="auto" w:fill="FFFFFF"/>
        </w:rPr>
        <w:t>Двосторонні договори повинні бути зареєстровані оператором системи передачі (далі – ОСП) за процедурою реєстрації, визначеною у </w:t>
      </w:r>
      <w:hyperlink r:id="rId12" w:anchor="n3517" w:history="1">
        <w:r w:rsidRPr="008E2477">
          <w:rPr>
            <w:rStyle w:val="af2"/>
            <w:shd w:val="clear" w:color="auto" w:fill="FFFFFF"/>
          </w:rPr>
          <w:t>главі 2.2</w:t>
        </w:r>
      </w:hyperlink>
      <w:r w:rsidRPr="008E2477">
        <w:rPr>
          <w:shd w:val="clear" w:color="auto" w:fill="FFFFFF"/>
        </w:rPr>
        <w:t xml:space="preserve"> розділу</w:t>
      </w:r>
      <w:r w:rsidR="001A4E4A">
        <w:rPr>
          <w:shd w:val="clear" w:color="auto" w:fill="FFFFFF"/>
        </w:rPr>
        <w:t xml:space="preserve"> </w:t>
      </w:r>
      <w:r w:rsidR="00D23F14" w:rsidRPr="00D23F14">
        <w:rPr>
          <w:bCs/>
          <w:color w:val="333333"/>
          <w:shd w:val="clear" w:color="auto" w:fill="FFFFFF"/>
        </w:rPr>
        <w:t>II</w:t>
      </w:r>
      <w:r w:rsidRPr="008E2477">
        <w:rPr>
          <w:shd w:val="clear" w:color="auto" w:fill="FFFFFF"/>
        </w:rPr>
        <w:t>.</w:t>
      </w:r>
    </w:p>
    <w:p w14:paraId="1562E449" w14:textId="68B6B6C4" w:rsidR="008E2477" w:rsidRDefault="008E2477" w:rsidP="008E2477">
      <w:pPr>
        <w:numPr>
          <w:ilvl w:val="0"/>
          <w:numId w:val="1"/>
        </w:numPr>
        <w:tabs>
          <w:tab w:val="clear" w:pos="360"/>
          <w:tab w:val="num" w:pos="567"/>
        </w:tabs>
        <w:spacing w:before="120" w:after="120"/>
        <w:ind w:left="567" w:hanging="567"/>
        <w:jc w:val="both"/>
      </w:pPr>
      <w:r>
        <w:t>У свою чергу</w:t>
      </w:r>
      <w:r w:rsidR="00DD2F77">
        <w:t>,</w:t>
      </w:r>
      <w:r>
        <w:t xml:space="preserve"> в</w:t>
      </w:r>
      <w:r w:rsidRPr="000449E5">
        <w:t xml:space="preserve">ідповідно </w:t>
      </w:r>
      <w:r w:rsidRPr="00E27155">
        <w:t xml:space="preserve">до пунктів 2.2.1 та 2.2.2 </w:t>
      </w:r>
      <w:r w:rsidR="00D23F14" w:rsidRPr="00E27155">
        <w:t>глави</w:t>
      </w:r>
      <w:r w:rsidRPr="00E27155">
        <w:t xml:space="preserve"> 2.2</w:t>
      </w:r>
      <w:r w:rsidRPr="000449E5">
        <w:t xml:space="preserve"> </w:t>
      </w:r>
      <w:r w:rsidR="00D23F14" w:rsidRPr="00D23F14">
        <w:t xml:space="preserve">розділу </w:t>
      </w:r>
      <w:r w:rsidR="00D23F14" w:rsidRPr="00D23F14">
        <w:rPr>
          <w:bCs/>
          <w:color w:val="333333"/>
          <w:shd w:val="clear" w:color="auto" w:fill="FFFFFF"/>
        </w:rPr>
        <w:t>II</w:t>
      </w:r>
      <w:r w:rsidR="00D23F14">
        <w:rPr>
          <w:bCs/>
          <w:color w:val="333333"/>
          <w:shd w:val="clear" w:color="auto" w:fill="FFFFFF"/>
        </w:rPr>
        <w:t xml:space="preserve"> </w:t>
      </w:r>
      <w:r w:rsidRPr="000449E5">
        <w:t>Правил ринку, ОСП здійснює управління електронною платформою, на якій учасники ринку, які здійснювали торгівлю електричною енергією на двосторонній основі, реєструють відповідні обсяги електричної енергії для всіх розрахункових періодів кожного торгового дня.</w:t>
      </w:r>
      <w:bookmarkStart w:id="3" w:name="n3519"/>
      <w:bookmarkEnd w:id="3"/>
      <w:r w:rsidRPr="000449E5">
        <w:t xml:space="preserve"> </w:t>
      </w:r>
    </w:p>
    <w:p w14:paraId="3E9CB858" w14:textId="448E6B93" w:rsidR="008E2477" w:rsidRDefault="008E2477" w:rsidP="008E2477">
      <w:pPr>
        <w:numPr>
          <w:ilvl w:val="0"/>
          <w:numId w:val="1"/>
        </w:numPr>
        <w:tabs>
          <w:tab w:val="clear" w:pos="360"/>
          <w:tab w:val="num" w:pos="567"/>
        </w:tabs>
        <w:spacing w:before="120" w:after="120"/>
        <w:ind w:left="567" w:hanging="567"/>
        <w:jc w:val="both"/>
      </w:pPr>
      <w:r w:rsidRPr="000449E5">
        <w:t>Закриття воріт для реєстрації обсягів електричної енергії, що відповідають розрахунковим періодам торгового дня, на електронній платформі відбувається о 10</w:t>
      </w:r>
      <w:r w:rsidR="00DD2F77">
        <w:t>.</w:t>
      </w:r>
      <w:r w:rsidRPr="000449E5">
        <w:t>00 за один день до торгового дня (d-1).</w:t>
      </w:r>
    </w:p>
    <w:p w14:paraId="7AB2BE39" w14:textId="64954EEE" w:rsidR="008E2477" w:rsidRDefault="008E2477" w:rsidP="008E2477">
      <w:pPr>
        <w:numPr>
          <w:ilvl w:val="0"/>
          <w:numId w:val="1"/>
        </w:numPr>
        <w:tabs>
          <w:tab w:val="clear" w:pos="360"/>
          <w:tab w:val="num" w:pos="567"/>
        </w:tabs>
        <w:spacing w:before="120" w:after="120"/>
        <w:ind w:left="567" w:hanging="567"/>
        <w:jc w:val="both"/>
      </w:pPr>
      <w:r w:rsidRPr="008E2477">
        <w:rPr>
          <w:shd w:val="clear" w:color="auto" w:fill="FFFFFF"/>
        </w:rPr>
        <w:t xml:space="preserve">Опитані </w:t>
      </w:r>
      <w:r w:rsidR="00704052">
        <w:rPr>
          <w:shd w:val="clear" w:color="auto" w:fill="FFFFFF"/>
        </w:rPr>
        <w:t xml:space="preserve">Комітетом </w:t>
      </w:r>
      <w:r w:rsidRPr="008E2477">
        <w:rPr>
          <w:shd w:val="clear" w:color="auto" w:fill="FFFFFF"/>
        </w:rPr>
        <w:t>суб’єкти господарювання</w:t>
      </w:r>
      <w:r w:rsidR="00704052">
        <w:rPr>
          <w:shd w:val="clear" w:color="auto" w:fill="FFFFFF"/>
        </w:rPr>
        <w:t xml:space="preserve"> </w:t>
      </w:r>
      <w:r w:rsidRPr="008E2477">
        <w:rPr>
          <w:shd w:val="clear" w:color="auto" w:fill="FFFFFF"/>
        </w:rPr>
        <w:t>зазначили, що двосторонні договори</w:t>
      </w:r>
      <w:r w:rsidR="0096660A">
        <w:rPr>
          <w:shd w:val="clear" w:color="auto" w:fill="FFFFFF"/>
        </w:rPr>
        <w:t>,</w:t>
      </w:r>
      <w:r w:rsidRPr="008E2477">
        <w:rPr>
          <w:shd w:val="clear" w:color="auto" w:fill="FFFFFF"/>
        </w:rPr>
        <w:t xml:space="preserve"> з точки зору юридичної природи</w:t>
      </w:r>
      <w:r w:rsidR="0096660A">
        <w:rPr>
          <w:shd w:val="clear" w:color="auto" w:fill="FFFFFF"/>
        </w:rPr>
        <w:t>,</w:t>
      </w:r>
      <w:r w:rsidRPr="008E2477">
        <w:rPr>
          <w:shd w:val="clear" w:color="auto" w:fill="FFFFFF"/>
        </w:rPr>
        <w:t xml:space="preserve"> є ф’ючерсними контрактами, тобто такими, що встановлюють певні права та обов’язки сторін у майбутньому</w:t>
      </w:r>
      <w:r w:rsidR="00704052">
        <w:rPr>
          <w:rStyle w:val="af1"/>
          <w:shd w:val="clear" w:color="auto" w:fill="FFFFFF"/>
        </w:rPr>
        <w:footnoteReference w:id="2"/>
      </w:r>
      <w:r w:rsidR="00D23F14">
        <w:rPr>
          <w:shd w:val="clear" w:color="auto" w:fill="FFFFFF"/>
          <w:vertAlign w:val="superscript"/>
        </w:rPr>
        <w:t>,</w:t>
      </w:r>
      <w:r w:rsidR="0039000D">
        <w:rPr>
          <w:shd w:val="clear" w:color="auto" w:fill="FFFFFF"/>
          <w:vertAlign w:val="superscript"/>
        </w:rPr>
        <w:t> </w:t>
      </w:r>
      <w:r w:rsidR="00616A37">
        <w:rPr>
          <w:rStyle w:val="af1"/>
          <w:shd w:val="clear" w:color="auto" w:fill="FFFFFF"/>
        </w:rPr>
        <w:footnoteReference w:id="3"/>
      </w:r>
      <w:r w:rsidR="00D23F14">
        <w:rPr>
          <w:shd w:val="clear" w:color="auto" w:fill="FFFFFF"/>
          <w:vertAlign w:val="superscript"/>
        </w:rPr>
        <w:t>,</w:t>
      </w:r>
      <w:r w:rsidR="0039000D">
        <w:t> </w:t>
      </w:r>
      <w:r w:rsidR="00616A37">
        <w:rPr>
          <w:rStyle w:val="af1"/>
          <w:shd w:val="clear" w:color="auto" w:fill="FFFFFF"/>
        </w:rPr>
        <w:footnoteReference w:id="4"/>
      </w:r>
      <w:r w:rsidRPr="008E2477">
        <w:rPr>
          <w:shd w:val="clear" w:color="auto" w:fill="FFFFFF"/>
        </w:rPr>
        <w:t>.</w:t>
      </w:r>
      <w:r w:rsidR="0039000D">
        <w:rPr>
          <w:shd w:val="clear" w:color="auto" w:fill="FFFFFF"/>
        </w:rPr>
        <w:t> </w:t>
      </w:r>
      <w:r w:rsidR="0096660A">
        <w:rPr>
          <w:shd w:val="clear" w:color="auto" w:fill="FFFFFF"/>
        </w:rPr>
        <w:t>Отже</w:t>
      </w:r>
      <w:r w:rsidRPr="008E2477">
        <w:rPr>
          <w:shd w:val="clear" w:color="auto" w:fill="FFFFFF"/>
        </w:rPr>
        <w:t>, двосторонні договори зазвичай не можуть бути укладен</w:t>
      </w:r>
      <w:r w:rsidR="0039000D">
        <w:rPr>
          <w:shd w:val="clear" w:color="auto" w:fill="FFFFFF"/>
        </w:rPr>
        <w:t>і</w:t>
      </w:r>
      <w:r w:rsidRPr="008E2477">
        <w:rPr>
          <w:shd w:val="clear" w:color="auto" w:fill="FFFFFF"/>
        </w:rPr>
        <w:t xml:space="preserve"> пізніше строк</w:t>
      </w:r>
      <w:r w:rsidR="0039000D">
        <w:rPr>
          <w:shd w:val="clear" w:color="auto" w:fill="FFFFFF"/>
        </w:rPr>
        <w:t>у</w:t>
      </w:r>
      <w:r w:rsidRPr="008E2477">
        <w:rPr>
          <w:shd w:val="clear" w:color="auto" w:fill="FFFFFF"/>
        </w:rPr>
        <w:t xml:space="preserve">, коли ворота для реєстрації обсягів на платформі ОСП закриваються. </w:t>
      </w:r>
    </w:p>
    <w:p w14:paraId="02C4B583" w14:textId="146BDCD4" w:rsidR="008E2477" w:rsidRDefault="008E2477" w:rsidP="008E2477">
      <w:pPr>
        <w:numPr>
          <w:ilvl w:val="0"/>
          <w:numId w:val="1"/>
        </w:numPr>
        <w:tabs>
          <w:tab w:val="clear" w:pos="360"/>
          <w:tab w:val="num" w:pos="567"/>
        </w:tabs>
        <w:spacing w:before="120" w:after="120"/>
        <w:ind w:left="567" w:hanging="567"/>
        <w:jc w:val="both"/>
      </w:pPr>
      <w:r w:rsidRPr="008E2477">
        <w:rPr>
          <w:shd w:val="clear" w:color="auto" w:fill="FFFFFF"/>
        </w:rPr>
        <w:t>Наприклад, за інформацією ТОВ «</w:t>
      </w:r>
      <w:r w:rsidRPr="000449E5">
        <w:t>АГЕНЦІЯ ІНВЕСТИЦІ</w:t>
      </w:r>
      <w:r w:rsidR="00F155DF">
        <w:t>Й</w:t>
      </w:r>
      <w:r w:rsidRPr="000449E5">
        <w:t>НОГО МЕНЕДЖМЕНТУ»</w:t>
      </w:r>
      <w:r>
        <w:t xml:space="preserve">, </w:t>
      </w:r>
      <w:r w:rsidR="005D479E" w:rsidRPr="00FC148C">
        <w:t>[</w:t>
      </w:r>
      <w:r w:rsidR="005D479E">
        <w:t>к</w:t>
      </w:r>
      <w:r w:rsidR="005D479E" w:rsidRPr="00FC148C">
        <w:rPr>
          <w:i/>
        </w:rPr>
        <w:t>онфіденційна інформація</w:t>
      </w:r>
      <w:r w:rsidR="005D479E" w:rsidRPr="00FC148C">
        <w:t>]</w:t>
      </w:r>
      <w:r w:rsidR="005D479E">
        <w:rPr>
          <w:lang w:val="ru-RU"/>
        </w:rPr>
        <w:t>.</w:t>
      </w:r>
    </w:p>
    <w:p w14:paraId="46DABBF4" w14:textId="78FB4010" w:rsidR="008E2477" w:rsidRDefault="008E2477" w:rsidP="008E2477">
      <w:pPr>
        <w:numPr>
          <w:ilvl w:val="0"/>
          <w:numId w:val="1"/>
        </w:numPr>
        <w:tabs>
          <w:tab w:val="clear" w:pos="360"/>
          <w:tab w:val="num" w:pos="567"/>
        </w:tabs>
        <w:spacing w:before="120" w:after="120"/>
        <w:ind w:left="567" w:hanging="567"/>
        <w:jc w:val="both"/>
      </w:pPr>
      <w:r w:rsidRPr="008E2477">
        <w:rPr>
          <w:shd w:val="clear" w:color="auto" w:fill="FFFFFF"/>
        </w:rPr>
        <w:t>За інформацією ТОВ</w:t>
      </w:r>
      <w:r w:rsidRPr="008E2477">
        <w:rPr>
          <w:b/>
          <w:shd w:val="clear" w:color="auto" w:fill="FFFFFF"/>
        </w:rPr>
        <w:t xml:space="preserve"> «</w:t>
      </w:r>
      <w:r w:rsidRPr="00C03BDA">
        <w:rPr>
          <w:rFonts w:hint="eastAsia"/>
        </w:rPr>
        <w:t>НОВА</w:t>
      </w:r>
      <w:r w:rsidRPr="00C03BDA">
        <w:t>-</w:t>
      </w:r>
      <w:r w:rsidRPr="00C03BDA">
        <w:rPr>
          <w:rFonts w:hint="eastAsia"/>
        </w:rPr>
        <w:t>ЕНЕРГЕТИЧНА</w:t>
      </w:r>
      <w:r w:rsidRPr="00C03BDA">
        <w:t>-</w:t>
      </w:r>
      <w:r w:rsidRPr="00C03BDA">
        <w:rPr>
          <w:rFonts w:hint="eastAsia"/>
        </w:rPr>
        <w:t>КОМПАНІЯ</w:t>
      </w:r>
      <w:r w:rsidR="005D479E">
        <w:rPr>
          <w:lang w:val="ru-RU"/>
        </w:rPr>
        <w:t xml:space="preserve">», </w:t>
      </w:r>
      <w:r w:rsidR="005D479E" w:rsidRPr="00FC148C">
        <w:t>[</w:t>
      </w:r>
      <w:r w:rsidR="005D479E">
        <w:t>к</w:t>
      </w:r>
      <w:r w:rsidR="005D479E" w:rsidRPr="00FC148C">
        <w:rPr>
          <w:i/>
        </w:rPr>
        <w:t>онфіденційна інформація</w:t>
      </w:r>
      <w:r w:rsidR="005D479E" w:rsidRPr="00FC148C">
        <w:t>]</w:t>
      </w:r>
      <w:r w:rsidR="005D479E">
        <w:rPr>
          <w:lang w:val="ru-RU"/>
        </w:rPr>
        <w:t>.</w:t>
      </w:r>
      <w:r w:rsidRPr="004F44B1">
        <w:t xml:space="preserve"> </w:t>
      </w:r>
    </w:p>
    <w:p w14:paraId="2C8C8E1C" w14:textId="1379F8C9" w:rsidR="0072724A" w:rsidRDefault="008E2477" w:rsidP="0072724A">
      <w:pPr>
        <w:numPr>
          <w:ilvl w:val="0"/>
          <w:numId w:val="1"/>
        </w:numPr>
        <w:tabs>
          <w:tab w:val="clear" w:pos="360"/>
          <w:tab w:val="num" w:pos="567"/>
        </w:tabs>
        <w:spacing w:before="120"/>
        <w:ind w:left="567" w:hanging="567"/>
        <w:jc w:val="both"/>
      </w:pPr>
      <w:r w:rsidRPr="004F44B1">
        <w:t>Враховуючи наведене, Електропостачальники придбавали електричну енергію на ринку двосторонніх договорів у різні дати. При цьому</w:t>
      </w:r>
      <w:r w:rsidR="003313DE">
        <w:t>,</w:t>
      </w:r>
      <w:r w:rsidRPr="004F44B1">
        <w:t xml:space="preserve"> за інформацією </w:t>
      </w:r>
      <w:r w:rsidRPr="008E2477">
        <w:rPr>
          <w:shd w:val="clear" w:color="auto" w:fill="FFFFFF"/>
        </w:rPr>
        <w:t>ТОВ</w:t>
      </w:r>
      <w:r w:rsidRPr="008E2477">
        <w:rPr>
          <w:b/>
          <w:shd w:val="clear" w:color="auto" w:fill="FFFFFF"/>
        </w:rPr>
        <w:t xml:space="preserve"> «</w:t>
      </w:r>
      <w:r w:rsidRPr="004F44B1">
        <w:rPr>
          <w:rFonts w:hint="eastAsia"/>
        </w:rPr>
        <w:t>НОВА</w:t>
      </w:r>
      <w:r w:rsidRPr="004F44B1">
        <w:t>-</w:t>
      </w:r>
      <w:r w:rsidRPr="004F44B1">
        <w:rPr>
          <w:rFonts w:hint="eastAsia"/>
        </w:rPr>
        <w:t>ЕНЕРГЕТИЧНА</w:t>
      </w:r>
      <w:r w:rsidRPr="004F44B1">
        <w:t>-</w:t>
      </w:r>
      <w:r w:rsidRPr="004F44B1">
        <w:rPr>
          <w:rFonts w:hint="eastAsia"/>
        </w:rPr>
        <w:t>КОМПАНІЯ»</w:t>
      </w:r>
      <w:r w:rsidR="003313DE">
        <w:t>,</w:t>
      </w:r>
      <w:r w:rsidRPr="004F44B1">
        <w:t xml:space="preserve"> </w:t>
      </w:r>
      <w:r w:rsidR="005D479E" w:rsidRPr="00FC148C">
        <w:t>[</w:t>
      </w:r>
      <w:r w:rsidR="005D479E">
        <w:t>к</w:t>
      </w:r>
      <w:r w:rsidR="005D479E" w:rsidRPr="00FC148C">
        <w:rPr>
          <w:i/>
        </w:rPr>
        <w:t>онфіденційна інформація</w:t>
      </w:r>
      <w:r w:rsidR="005D479E" w:rsidRPr="00FC148C">
        <w:t>]</w:t>
      </w:r>
      <w:r w:rsidR="005D479E">
        <w:rPr>
          <w:lang w:val="ru-RU"/>
        </w:rPr>
        <w:t>.</w:t>
      </w:r>
      <w:r w:rsidR="00752426">
        <w:t xml:space="preserve">                     </w:t>
      </w:r>
      <w:r w:rsidR="00E27155">
        <w:t xml:space="preserve">                                                    </w:t>
      </w:r>
    </w:p>
    <w:p w14:paraId="03A6AE7D" w14:textId="498C718C" w:rsidR="00616A37" w:rsidRDefault="00E27155" w:rsidP="0072724A">
      <w:pPr>
        <w:spacing w:before="120"/>
        <w:ind w:left="567"/>
        <w:jc w:val="both"/>
      </w:pPr>
      <w:r>
        <w:lastRenderedPageBreak/>
        <w:t xml:space="preserve">                                                                                                                                     </w:t>
      </w:r>
      <w:r w:rsidR="00752426">
        <w:t>Таблиця 1</w:t>
      </w:r>
    </w:p>
    <w:tbl>
      <w:tblPr>
        <w:tblStyle w:val="af4"/>
        <w:tblpPr w:leftFromText="180" w:rightFromText="180" w:vertAnchor="text" w:horzAnchor="margin" w:tblpXSpec="right" w:tblpY="203"/>
        <w:tblW w:w="9240" w:type="dxa"/>
        <w:tblLook w:val="04A0" w:firstRow="1" w:lastRow="0" w:firstColumn="1" w:lastColumn="0" w:noHBand="0" w:noVBand="1"/>
      </w:tblPr>
      <w:tblGrid>
        <w:gridCol w:w="2235"/>
        <w:gridCol w:w="2126"/>
        <w:gridCol w:w="2268"/>
        <w:gridCol w:w="2611"/>
      </w:tblGrid>
      <w:tr w:rsidR="00503C81" w:rsidRPr="00616A37" w14:paraId="5CD90EB4" w14:textId="77777777" w:rsidTr="00503C81">
        <w:trPr>
          <w:trHeight w:val="1126"/>
        </w:trPr>
        <w:tc>
          <w:tcPr>
            <w:tcW w:w="2235" w:type="dxa"/>
            <w:vAlign w:val="center"/>
          </w:tcPr>
          <w:p w14:paraId="4516EF26" w14:textId="77777777" w:rsidR="0072724A" w:rsidRPr="00616A37" w:rsidRDefault="0072724A" w:rsidP="0072724A">
            <w:pPr>
              <w:jc w:val="center"/>
              <w:rPr>
                <w:bCs/>
                <w:shd w:val="clear" w:color="auto" w:fill="FFFFFF"/>
              </w:rPr>
            </w:pPr>
            <w:r w:rsidRPr="00616A37">
              <w:rPr>
                <w:bCs/>
                <w:shd w:val="clear" w:color="auto" w:fill="FFFFFF"/>
                <w:lang w:val="ru-RU"/>
              </w:rPr>
              <w:t>Пер</w:t>
            </w:r>
            <w:r w:rsidRPr="00616A37">
              <w:rPr>
                <w:bCs/>
                <w:shd w:val="clear" w:color="auto" w:fill="FFFFFF"/>
              </w:rPr>
              <w:t>іод</w:t>
            </w:r>
          </w:p>
        </w:tc>
        <w:tc>
          <w:tcPr>
            <w:tcW w:w="2126" w:type="dxa"/>
          </w:tcPr>
          <w:p w14:paraId="1BE17114" w14:textId="77777777" w:rsidR="0072724A" w:rsidRPr="00616A37" w:rsidRDefault="0072724A" w:rsidP="0072724A">
            <w:pPr>
              <w:spacing w:after="120"/>
              <w:jc w:val="center"/>
              <w:rPr>
                <w:bCs/>
                <w:shd w:val="clear" w:color="auto" w:fill="FFFFFF"/>
              </w:rPr>
            </w:pPr>
            <w:r w:rsidRPr="00616A37">
              <w:rPr>
                <w:bCs/>
                <w:shd w:val="clear" w:color="auto" w:fill="FFFFFF"/>
              </w:rPr>
              <w:t>Загальний обсяг продажу електричної енергії на ринку ДД (</w:t>
            </w:r>
            <w:r w:rsidRPr="00616A37">
              <w:rPr>
                <w:rStyle w:val="af5"/>
                <w:bCs/>
                <w:shd w:val="clear" w:color="auto" w:fill="FFFFFF"/>
              </w:rPr>
              <w:t>МВт</w:t>
            </w:r>
            <w:r w:rsidRPr="00616A37">
              <w:rPr>
                <w:shd w:val="clear" w:color="auto" w:fill="FFFFFF"/>
              </w:rPr>
              <w:t>·</w:t>
            </w:r>
            <w:r w:rsidRPr="00616A37">
              <w:rPr>
                <w:rStyle w:val="af5"/>
                <w:bCs/>
                <w:shd w:val="clear" w:color="auto" w:fill="FFFFFF"/>
              </w:rPr>
              <w:t>год)</w:t>
            </w:r>
          </w:p>
        </w:tc>
        <w:tc>
          <w:tcPr>
            <w:tcW w:w="2268" w:type="dxa"/>
          </w:tcPr>
          <w:p w14:paraId="32BBD1CD" w14:textId="77777777" w:rsidR="0072724A" w:rsidRPr="00616A37" w:rsidRDefault="0072724A" w:rsidP="0072724A">
            <w:pPr>
              <w:jc w:val="center"/>
              <w:rPr>
                <w:bCs/>
                <w:shd w:val="clear" w:color="auto" w:fill="FFFFFF"/>
              </w:rPr>
            </w:pPr>
            <w:r w:rsidRPr="00616A37">
              <w:rPr>
                <w:bCs/>
                <w:shd w:val="clear" w:color="auto" w:fill="FFFFFF"/>
              </w:rPr>
              <w:t>Обсяг продажу електричної енергії Товариства на ринку ДД (</w:t>
            </w:r>
            <w:r w:rsidRPr="00616A37">
              <w:rPr>
                <w:rStyle w:val="af5"/>
                <w:bCs/>
                <w:shd w:val="clear" w:color="auto" w:fill="FFFFFF"/>
              </w:rPr>
              <w:t>МВт</w:t>
            </w:r>
            <w:r w:rsidRPr="00616A37">
              <w:rPr>
                <w:shd w:val="clear" w:color="auto" w:fill="FFFFFF"/>
              </w:rPr>
              <w:t>·</w:t>
            </w:r>
            <w:r w:rsidRPr="00616A37">
              <w:rPr>
                <w:rStyle w:val="af5"/>
                <w:bCs/>
                <w:shd w:val="clear" w:color="auto" w:fill="FFFFFF"/>
              </w:rPr>
              <w:t>год)</w:t>
            </w:r>
          </w:p>
        </w:tc>
        <w:tc>
          <w:tcPr>
            <w:tcW w:w="2611" w:type="dxa"/>
          </w:tcPr>
          <w:p w14:paraId="6A6C6E87" w14:textId="77777777" w:rsidR="0072724A" w:rsidRPr="00616A37" w:rsidRDefault="0072724A" w:rsidP="0072724A">
            <w:pPr>
              <w:jc w:val="center"/>
              <w:rPr>
                <w:bCs/>
                <w:shd w:val="clear" w:color="auto" w:fill="FFFFFF"/>
              </w:rPr>
            </w:pPr>
            <w:r w:rsidRPr="00616A37">
              <w:rPr>
                <w:bCs/>
                <w:shd w:val="clear" w:color="auto" w:fill="FFFFFF"/>
              </w:rPr>
              <w:t>Частка Товариства від загального обсягу продажу електричної енергії на ринку ДД (%)</w:t>
            </w:r>
          </w:p>
        </w:tc>
      </w:tr>
      <w:tr w:rsidR="00503C81" w:rsidRPr="00616A37" w14:paraId="6A473467" w14:textId="77777777" w:rsidTr="00503C81">
        <w:trPr>
          <w:trHeight w:val="185"/>
        </w:trPr>
        <w:tc>
          <w:tcPr>
            <w:tcW w:w="2235" w:type="dxa"/>
          </w:tcPr>
          <w:p w14:paraId="0E15EB2E" w14:textId="77777777" w:rsidR="0072724A" w:rsidRPr="00616A37" w:rsidRDefault="0072724A" w:rsidP="0072724A">
            <w:pPr>
              <w:jc w:val="center"/>
              <w:rPr>
                <w:bCs/>
                <w:shd w:val="clear" w:color="auto" w:fill="FFFFFF"/>
              </w:rPr>
            </w:pPr>
            <w:r w:rsidRPr="00616A37">
              <w:rPr>
                <w:bCs/>
                <w:shd w:val="clear" w:color="auto" w:fill="FFFFFF"/>
              </w:rPr>
              <w:t>Лютий 2021 року</w:t>
            </w:r>
          </w:p>
        </w:tc>
        <w:tc>
          <w:tcPr>
            <w:tcW w:w="2126" w:type="dxa"/>
          </w:tcPr>
          <w:p w14:paraId="79EC0ABD" w14:textId="04D4B8DF" w:rsidR="0072724A" w:rsidRPr="00616A37" w:rsidRDefault="00D123EE" w:rsidP="0072724A">
            <w:pPr>
              <w:jc w:val="center"/>
              <w:rPr>
                <w:bCs/>
                <w:shd w:val="clear" w:color="auto" w:fill="FFFFFF"/>
              </w:rPr>
            </w:pPr>
            <w:r>
              <w:t>[к</w:t>
            </w:r>
            <w:r>
              <w:rPr>
                <w:i/>
              </w:rPr>
              <w:t>онфіденційна інформація</w:t>
            </w:r>
            <w:r>
              <w:t>]</w:t>
            </w:r>
          </w:p>
        </w:tc>
        <w:tc>
          <w:tcPr>
            <w:tcW w:w="2268" w:type="dxa"/>
          </w:tcPr>
          <w:p w14:paraId="6F64FC5A" w14:textId="423FECFF" w:rsidR="0072724A" w:rsidRPr="00616A37" w:rsidRDefault="00D123EE" w:rsidP="0072724A">
            <w:pPr>
              <w:jc w:val="center"/>
              <w:rPr>
                <w:bCs/>
                <w:shd w:val="clear" w:color="auto" w:fill="FFFFFF"/>
              </w:rPr>
            </w:pPr>
            <w:r>
              <w:t>[к</w:t>
            </w:r>
            <w:r>
              <w:rPr>
                <w:i/>
              </w:rPr>
              <w:t>онфіденційна інформація</w:t>
            </w:r>
            <w:r>
              <w:t>]</w:t>
            </w:r>
          </w:p>
        </w:tc>
        <w:tc>
          <w:tcPr>
            <w:tcW w:w="2611" w:type="dxa"/>
          </w:tcPr>
          <w:p w14:paraId="1032071A" w14:textId="77777777" w:rsidR="0072724A" w:rsidRPr="00616A37" w:rsidRDefault="0072724A" w:rsidP="0072724A">
            <w:pPr>
              <w:jc w:val="center"/>
              <w:rPr>
                <w:bCs/>
                <w:shd w:val="clear" w:color="auto" w:fill="FFFFFF"/>
              </w:rPr>
            </w:pPr>
            <w:r w:rsidRPr="00616A37">
              <w:rPr>
                <w:bCs/>
                <w:shd w:val="clear" w:color="auto" w:fill="FFFFFF"/>
              </w:rPr>
              <w:t>0,0131</w:t>
            </w:r>
          </w:p>
        </w:tc>
      </w:tr>
      <w:tr w:rsidR="00503C81" w:rsidRPr="00616A37" w14:paraId="0DE305FC" w14:textId="77777777" w:rsidTr="00503C81">
        <w:trPr>
          <w:trHeight w:val="185"/>
        </w:trPr>
        <w:tc>
          <w:tcPr>
            <w:tcW w:w="2235" w:type="dxa"/>
          </w:tcPr>
          <w:p w14:paraId="48B249F4" w14:textId="77777777" w:rsidR="0072724A" w:rsidRPr="00616A37" w:rsidRDefault="0072724A" w:rsidP="0072724A">
            <w:pPr>
              <w:jc w:val="center"/>
              <w:rPr>
                <w:bCs/>
                <w:shd w:val="clear" w:color="auto" w:fill="FFFFFF"/>
              </w:rPr>
            </w:pPr>
            <w:r w:rsidRPr="00616A37">
              <w:rPr>
                <w:bCs/>
                <w:shd w:val="clear" w:color="auto" w:fill="FFFFFF"/>
              </w:rPr>
              <w:t>Квітень 2021 року</w:t>
            </w:r>
          </w:p>
        </w:tc>
        <w:tc>
          <w:tcPr>
            <w:tcW w:w="2126" w:type="dxa"/>
          </w:tcPr>
          <w:p w14:paraId="7ACBFD1D" w14:textId="5ED4E9B5" w:rsidR="0072724A" w:rsidRPr="00616A37" w:rsidRDefault="00D123EE" w:rsidP="0072724A">
            <w:pPr>
              <w:jc w:val="center"/>
              <w:rPr>
                <w:bCs/>
                <w:shd w:val="clear" w:color="auto" w:fill="FFFFFF"/>
              </w:rPr>
            </w:pPr>
            <w:r>
              <w:t>[к</w:t>
            </w:r>
            <w:r>
              <w:rPr>
                <w:i/>
              </w:rPr>
              <w:t>онфіденційна інформація</w:t>
            </w:r>
            <w:r>
              <w:t>]</w:t>
            </w:r>
          </w:p>
        </w:tc>
        <w:tc>
          <w:tcPr>
            <w:tcW w:w="2268" w:type="dxa"/>
          </w:tcPr>
          <w:p w14:paraId="7EBA3BD1" w14:textId="707A516B" w:rsidR="0072724A" w:rsidRPr="00616A37" w:rsidRDefault="00D123EE" w:rsidP="0072724A">
            <w:pPr>
              <w:jc w:val="center"/>
              <w:rPr>
                <w:bCs/>
                <w:shd w:val="clear" w:color="auto" w:fill="FFFFFF"/>
              </w:rPr>
            </w:pPr>
            <w:r>
              <w:t>[к</w:t>
            </w:r>
            <w:r>
              <w:rPr>
                <w:i/>
              </w:rPr>
              <w:t>онфіденційна інформація</w:t>
            </w:r>
            <w:r>
              <w:t>]</w:t>
            </w:r>
          </w:p>
        </w:tc>
        <w:tc>
          <w:tcPr>
            <w:tcW w:w="2611" w:type="dxa"/>
          </w:tcPr>
          <w:p w14:paraId="4995AB8C" w14:textId="77777777" w:rsidR="0072724A" w:rsidRPr="00616A37" w:rsidRDefault="0072724A" w:rsidP="0072724A">
            <w:pPr>
              <w:jc w:val="center"/>
              <w:rPr>
                <w:bCs/>
                <w:shd w:val="clear" w:color="auto" w:fill="FFFFFF"/>
              </w:rPr>
            </w:pPr>
            <w:r w:rsidRPr="00616A37">
              <w:rPr>
                <w:bCs/>
                <w:shd w:val="clear" w:color="auto" w:fill="FFFFFF"/>
              </w:rPr>
              <w:t>0,0466</w:t>
            </w:r>
          </w:p>
        </w:tc>
      </w:tr>
      <w:tr w:rsidR="00503C81" w:rsidRPr="00616A37" w14:paraId="7B90CAE3" w14:textId="77777777" w:rsidTr="00503C81">
        <w:trPr>
          <w:trHeight w:val="70"/>
        </w:trPr>
        <w:tc>
          <w:tcPr>
            <w:tcW w:w="2235" w:type="dxa"/>
          </w:tcPr>
          <w:p w14:paraId="59694C24" w14:textId="77777777" w:rsidR="0072724A" w:rsidRPr="00616A37" w:rsidRDefault="0072724A" w:rsidP="0072724A">
            <w:pPr>
              <w:jc w:val="center"/>
              <w:rPr>
                <w:bCs/>
                <w:shd w:val="clear" w:color="auto" w:fill="FFFFFF"/>
              </w:rPr>
            </w:pPr>
            <w:r w:rsidRPr="00616A37">
              <w:rPr>
                <w:bCs/>
                <w:shd w:val="clear" w:color="auto" w:fill="FFFFFF"/>
              </w:rPr>
              <w:t>Травень 2021 року</w:t>
            </w:r>
          </w:p>
        </w:tc>
        <w:tc>
          <w:tcPr>
            <w:tcW w:w="2126" w:type="dxa"/>
          </w:tcPr>
          <w:p w14:paraId="379AF8BD" w14:textId="0FC6C609" w:rsidR="0072724A" w:rsidRPr="00616A37" w:rsidRDefault="00D123EE" w:rsidP="0072724A">
            <w:pPr>
              <w:jc w:val="center"/>
              <w:rPr>
                <w:bCs/>
                <w:shd w:val="clear" w:color="auto" w:fill="FFFFFF"/>
              </w:rPr>
            </w:pPr>
            <w:r>
              <w:t>[к</w:t>
            </w:r>
            <w:r>
              <w:rPr>
                <w:i/>
              </w:rPr>
              <w:t>онфіденційна інформація</w:t>
            </w:r>
            <w:r>
              <w:t>]</w:t>
            </w:r>
          </w:p>
        </w:tc>
        <w:tc>
          <w:tcPr>
            <w:tcW w:w="2268" w:type="dxa"/>
          </w:tcPr>
          <w:p w14:paraId="4F454792" w14:textId="0D0E57AF" w:rsidR="0072724A" w:rsidRPr="00616A37" w:rsidRDefault="00D123EE" w:rsidP="0072724A">
            <w:pPr>
              <w:jc w:val="center"/>
              <w:rPr>
                <w:bCs/>
                <w:shd w:val="clear" w:color="auto" w:fill="FFFFFF"/>
              </w:rPr>
            </w:pPr>
            <w:r>
              <w:t>[к</w:t>
            </w:r>
            <w:r>
              <w:rPr>
                <w:i/>
              </w:rPr>
              <w:t>онфіденційна інформація</w:t>
            </w:r>
            <w:r>
              <w:t>]</w:t>
            </w:r>
          </w:p>
        </w:tc>
        <w:tc>
          <w:tcPr>
            <w:tcW w:w="2611" w:type="dxa"/>
          </w:tcPr>
          <w:p w14:paraId="2FD78EDF" w14:textId="77777777" w:rsidR="0072724A" w:rsidRPr="00616A37" w:rsidRDefault="0072724A" w:rsidP="0072724A">
            <w:pPr>
              <w:jc w:val="center"/>
              <w:rPr>
                <w:bCs/>
                <w:shd w:val="clear" w:color="auto" w:fill="FFFFFF"/>
                <w:lang w:val="ru-RU"/>
              </w:rPr>
            </w:pPr>
            <w:r w:rsidRPr="00616A37">
              <w:rPr>
                <w:bCs/>
                <w:shd w:val="clear" w:color="auto" w:fill="FFFFFF"/>
              </w:rPr>
              <w:t>0,2</w:t>
            </w:r>
            <w:r w:rsidRPr="00616A37">
              <w:rPr>
                <w:bCs/>
                <w:shd w:val="clear" w:color="auto" w:fill="FFFFFF"/>
                <w:lang w:val="ru-RU"/>
              </w:rPr>
              <w:t>201</w:t>
            </w:r>
          </w:p>
        </w:tc>
      </w:tr>
    </w:tbl>
    <w:p w14:paraId="271B6DEB" w14:textId="77777777" w:rsidR="003313DE" w:rsidRDefault="003313DE" w:rsidP="0072724A">
      <w:pPr>
        <w:spacing w:before="120"/>
        <w:jc w:val="both"/>
      </w:pPr>
    </w:p>
    <w:p w14:paraId="2517D683" w14:textId="4C355DC6" w:rsidR="001A4E4A" w:rsidRDefault="008B146D" w:rsidP="0072724A">
      <w:pPr>
        <w:numPr>
          <w:ilvl w:val="0"/>
          <w:numId w:val="1"/>
        </w:numPr>
        <w:tabs>
          <w:tab w:val="clear" w:pos="360"/>
          <w:tab w:val="num" w:pos="567"/>
        </w:tabs>
        <w:spacing w:before="120"/>
        <w:ind w:left="567" w:hanging="567"/>
        <w:jc w:val="both"/>
      </w:pPr>
      <w:r>
        <w:rPr>
          <w:shd w:val="clear" w:color="auto" w:fill="FFFFFF"/>
        </w:rPr>
        <w:t>З огляду на</w:t>
      </w:r>
      <w:r w:rsidR="008E2477" w:rsidRPr="00F40632">
        <w:rPr>
          <w:shd w:val="clear" w:color="auto" w:fill="FFFFFF"/>
        </w:rPr>
        <w:t xml:space="preserve"> наведене, Комітет</w:t>
      </w:r>
      <w:r w:rsidR="008E2477" w:rsidRPr="005E050F">
        <w:rPr>
          <w:shd w:val="clear" w:color="auto" w:fill="FFFFFF"/>
        </w:rPr>
        <w:t xml:space="preserve"> оцін</w:t>
      </w:r>
      <w:r>
        <w:rPr>
          <w:shd w:val="clear" w:color="auto" w:fill="FFFFFF"/>
        </w:rPr>
        <w:t>ив</w:t>
      </w:r>
      <w:r w:rsidR="008E2477" w:rsidRPr="005E050F">
        <w:rPr>
          <w:shd w:val="clear" w:color="auto" w:fill="FFFFFF"/>
        </w:rPr>
        <w:t xml:space="preserve"> частки </w:t>
      </w:r>
      <w:r w:rsidR="008E2477" w:rsidRPr="000D57F0">
        <w:t>ТОВ «ЮТІЛІТІ ТРЕЙДІНГ»</w:t>
      </w:r>
      <w:r w:rsidR="008E2477">
        <w:t xml:space="preserve"> на ринку двосторонніх договорів </w:t>
      </w:r>
      <w:r w:rsidR="008E2477" w:rsidRPr="00F40632">
        <w:rPr>
          <w:bCs/>
          <w:shd w:val="clear" w:color="auto" w:fill="FFFFFF"/>
        </w:rPr>
        <w:t>протягом лютого</w:t>
      </w:r>
      <w:r>
        <w:rPr>
          <w:bCs/>
          <w:shd w:val="clear" w:color="auto" w:fill="FFFFFF"/>
        </w:rPr>
        <w:t xml:space="preserve"> − </w:t>
      </w:r>
      <w:r w:rsidR="008E2477" w:rsidRPr="00F40632">
        <w:rPr>
          <w:bCs/>
          <w:shd w:val="clear" w:color="auto" w:fill="FFFFFF"/>
        </w:rPr>
        <w:t>травня 2021 року (див. табл</w:t>
      </w:r>
      <w:r>
        <w:rPr>
          <w:bCs/>
          <w:shd w:val="clear" w:color="auto" w:fill="FFFFFF"/>
        </w:rPr>
        <w:t>.</w:t>
      </w:r>
      <w:r w:rsidR="00916699" w:rsidRPr="005E050F">
        <w:rPr>
          <w:bCs/>
          <w:shd w:val="clear" w:color="auto" w:fill="FFFFFF"/>
        </w:rPr>
        <w:t xml:space="preserve"> </w:t>
      </w:r>
      <w:r>
        <w:rPr>
          <w:bCs/>
          <w:shd w:val="clear" w:color="auto" w:fill="FFFFFF"/>
        </w:rPr>
        <w:t>1</w:t>
      </w:r>
      <w:r w:rsidR="008E2477" w:rsidRPr="00F40632">
        <w:rPr>
          <w:bCs/>
          <w:shd w:val="clear" w:color="auto" w:fill="FFFFFF"/>
        </w:rPr>
        <w:t>)</w:t>
      </w:r>
      <w:r w:rsidR="008E2477">
        <w:rPr>
          <w:rStyle w:val="af1"/>
          <w:bCs/>
          <w:shd w:val="clear" w:color="auto" w:fill="FFFFFF"/>
        </w:rPr>
        <w:footnoteReference w:id="5"/>
      </w:r>
      <w:r w:rsidR="00916699" w:rsidRPr="00F40632">
        <w:rPr>
          <w:bCs/>
          <w:shd w:val="clear" w:color="auto" w:fill="FFFFFF"/>
        </w:rPr>
        <w:t>.</w:t>
      </w:r>
    </w:p>
    <w:p w14:paraId="7D927D50" w14:textId="365B451B" w:rsidR="00612038" w:rsidRDefault="008E2477" w:rsidP="00612038">
      <w:pPr>
        <w:numPr>
          <w:ilvl w:val="0"/>
          <w:numId w:val="1"/>
        </w:numPr>
        <w:tabs>
          <w:tab w:val="clear" w:pos="360"/>
          <w:tab w:val="num" w:pos="567"/>
        </w:tabs>
        <w:spacing w:before="120" w:after="120"/>
        <w:ind w:left="567" w:hanging="567"/>
        <w:jc w:val="both"/>
        <w:rPr>
          <w:shd w:val="clear" w:color="auto" w:fill="FFFFFF"/>
        </w:rPr>
      </w:pPr>
      <w:r w:rsidRPr="00612038">
        <w:rPr>
          <w:shd w:val="clear" w:color="auto" w:fill="FFFFFF"/>
        </w:rPr>
        <w:t xml:space="preserve">Як вбачається з таблиці </w:t>
      </w:r>
      <w:r w:rsidR="008B146D">
        <w:rPr>
          <w:shd w:val="clear" w:color="auto" w:fill="FFFFFF"/>
        </w:rPr>
        <w:t>1</w:t>
      </w:r>
      <w:r w:rsidRPr="00612038">
        <w:rPr>
          <w:shd w:val="clear" w:color="auto" w:fill="FFFFFF"/>
        </w:rPr>
        <w:t>, частка ТОВ «ЮТІЛІТІ ТРЕЙДІНГ» від загального обсягу</w:t>
      </w:r>
      <w:r w:rsidR="00612038">
        <w:rPr>
          <w:shd w:val="clear" w:color="auto" w:fill="FFFFFF"/>
        </w:rPr>
        <w:t xml:space="preserve"> </w:t>
      </w:r>
      <w:r w:rsidRPr="00612038">
        <w:rPr>
          <w:shd w:val="clear" w:color="auto" w:fill="FFFFFF"/>
        </w:rPr>
        <w:t>продажу електричної енергії на ринку ДД протягом лютого, квітня, травня 2021 року не перевищувала 0,5</w:t>
      </w:r>
      <w:r w:rsidR="00CB08AA">
        <w:rPr>
          <w:shd w:val="clear" w:color="auto" w:fill="FFFFFF"/>
        </w:rPr>
        <w:t xml:space="preserve"> </w:t>
      </w:r>
      <w:r w:rsidRPr="00612038">
        <w:rPr>
          <w:shd w:val="clear" w:color="auto" w:fill="FFFFFF"/>
        </w:rPr>
        <w:t>%.</w:t>
      </w:r>
    </w:p>
    <w:p w14:paraId="1D9B7CA8" w14:textId="253B91C5" w:rsidR="008E2477" w:rsidRPr="001A4E4A" w:rsidRDefault="008E2477" w:rsidP="00612038">
      <w:pPr>
        <w:numPr>
          <w:ilvl w:val="0"/>
          <w:numId w:val="1"/>
        </w:numPr>
        <w:tabs>
          <w:tab w:val="clear" w:pos="360"/>
          <w:tab w:val="num" w:pos="567"/>
        </w:tabs>
        <w:spacing w:before="120" w:after="120"/>
        <w:ind w:left="567" w:hanging="567"/>
        <w:jc w:val="both"/>
        <w:rPr>
          <w:shd w:val="clear" w:color="auto" w:fill="FFFFFF"/>
        </w:rPr>
      </w:pPr>
      <w:r w:rsidRPr="00612038">
        <w:rPr>
          <w:shd w:val="clear" w:color="auto" w:fill="FFFFFF"/>
        </w:rPr>
        <w:t>Враховуючи відсутність</w:t>
      </w:r>
      <w:r w:rsidR="00E00483" w:rsidRPr="0072724A">
        <w:rPr>
          <w:shd w:val="clear" w:color="auto" w:fill="FFFFFF"/>
        </w:rPr>
        <w:t xml:space="preserve"> </w:t>
      </w:r>
      <w:r w:rsidRPr="00612038">
        <w:rPr>
          <w:shd w:val="clear" w:color="auto" w:fill="FFFFFF"/>
        </w:rPr>
        <w:t xml:space="preserve">висновків </w:t>
      </w:r>
      <w:r w:rsidR="008B146D">
        <w:rPr>
          <w:shd w:val="clear" w:color="auto" w:fill="FFFFFF"/>
        </w:rPr>
        <w:t>щодо</w:t>
      </w:r>
      <w:r w:rsidR="008B146D" w:rsidRPr="00612038">
        <w:rPr>
          <w:shd w:val="clear" w:color="auto" w:fill="FFFFFF"/>
        </w:rPr>
        <w:t xml:space="preserve"> часови</w:t>
      </w:r>
      <w:r w:rsidR="008B146D">
        <w:rPr>
          <w:shd w:val="clear" w:color="auto" w:fill="FFFFFF"/>
        </w:rPr>
        <w:t>х</w:t>
      </w:r>
      <w:r w:rsidR="008B146D" w:rsidRPr="00612038">
        <w:rPr>
          <w:shd w:val="clear" w:color="auto" w:fill="FFFFFF"/>
        </w:rPr>
        <w:t xml:space="preserve"> </w:t>
      </w:r>
      <w:r w:rsidRPr="00612038">
        <w:rPr>
          <w:shd w:val="clear" w:color="auto" w:fill="FFFFFF"/>
        </w:rPr>
        <w:t>меж ринку двосторонніх договорів, а також для максимально коректної оцінки ринкового становища Товариства, Комітет також проаналіз</w:t>
      </w:r>
      <w:r w:rsidR="008B146D">
        <w:rPr>
          <w:shd w:val="clear" w:color="auto" w:fill="FFFFFF"/>
        </w:rPr>
        <w:t>ував</w:t>
      </w:r>
      <w:r w:rsidRPr="00612038">
        <w:rPr>
          <w:shd w:val="clear" w:color="auto" w:fill="FFFFFF"/>
        </w:rPr>
        <w:t xml:space="preserve"> частки </w:t>
      </w:r>
      <w:r w:rsidRPr="000D57F0">
        <w:t>ТОВ «ЮТІЛІТІ ТРЕЙДІНГ»</w:t>
      </w:r>
      <w:r>
        <w:t xml:space="preserve"> на ринку двосторонніх договорів </w:t>
      </w:r>
      <w:r w:rsidR="008B146D">
        <w:rPr>
          <w:bCs/>
          <w:shd w:val="clear" w:color="auto" w:fill="FFFFFF"/>
        </w:rPr>
        <w:t>у</w:t>
      </w:r>
      <w:r w:rsidR="008B146D" w:rsidRPr="00612038">
        <w:rPr>
          <w:bCs/>
          <w:shd w:val="clear" w:color="auto" w:fill="FFFFFF"/>
        </w:rPr>
        <w:t xml:space="preserve"> </w:t>
      </w:r>
      <w:r w:rsidRPr="00612038">
        <w:rPr>
          <w:bCs/>
          <w:shd w:val="clear" w:color="auto" w:fill="FFFFFF"/>
        </w:rPr>
        <w:t>розрізі окремих торгових днів, а саме: 19.02.2021, 21.04.2021, 19.05.2021</w:t>
      </w:r>
      <w:r>
        <w:rPr>
          <w:rStyle w:val="af1"/>
          <w:bCs/>
          <w:shd w:val="clear" w:color="auto" w:fill="FFFFFF"/>
        </w:rPr>
        <w:footnoteReference w:id="6"/>
      </w:r>
      <w:r w:rsidRPr="00612038">
        <w:rPr>
          <w:shd w:val="clear" w:color="auto" w:fill="FFFFFF"/>
        </w:rPr>
        <w:t xml:space="preserve"> </w:t>
      </w:r>
      <w:r w:rsidRPr="00612038">
        <w:rPr>
          <w:bCs/>
          <w:shd w:val="clear" w:color="auto" w:fill="FFFFFF"/>
        </w:rPr>
        <w:t>(див. табл</w:t>
      </w:r>
      <w:r w:rsidR="008B146D">
        <w:rPr>
          <w:bCs/>
          <w:shd w:val="clear" w:color="auto" w:fill="FFFFFF"/>
        </w:rPr>
        <w:t>. 2</w:t>
      </w:r>
      <w:r w:rsidRPr="00612038">
        <w:rPr>
          <w:bCs/>
          <w:shd w:val="clear" w:color="auto" w:fill="FFFFFF"/>
        </w:rPr>
        <w:t>)</w:t>
      </w:r>
      <w:r>
        <w:rPr>
          <w:rStyle w:val="af1"/>
          <w:bCs/>
          <w:shd w:val="clear" w:color="auto" w:fill="FFFFFF"/>
        </w:rPr>
        <w:footnoteReference w:id="7"/>
      </w:r>
      <w:r w:rsidRPr="00612038">
        <w:rPr>
          <w:bCs/>
          <w:shd w:val="clear" w:color="auto" w:fill="FFFFFF"/>
        </w:rPr>
        <w:t>:</w:t>
      </w:r>
    </w:p>
    <w:p w14:paraId="02C48ABE" w14:textId="21EBCF72" w:rsidR="001A4E4A" w:rsidRPr="00612038" w:rsidRDefault="008B146D" w:rsidP="001A4E4A">
      <w:pPr>
        <w:spacing w:before="120" w:after="120"/>
        <w:ind w:left="567"/>
        <w:jc w:val="both"/>
        <w:rPr>
          <w:shd w:val="clear" w:color="auto" w:fill="FFFFFF"/>
        </w:rPr>
      </w:pPr>
      <w:r>
        <w:rPr>
          <w:shd w:val="clear" w:color="auto" w:fill="FFFFFF"/>
        </w:rPr>
        <w:t xml:space="preserve">                                                                                                                            </w:t>
      </w:r>
      <w:r w:rsidR="0023006E">
        <w:rPr>
          <w:shd w:val="clear" w:color="auto" w:fill="FFFFFF"/>
        </w:rPr>
        <w:t xml:space="preserve">     </w:t>
      </w:r>
      <w:r>
        <w:rPr>
          <w:shd w:val="clear" w:color="auto" w:fill="FFFFFF"/>
        </w:rPr>
        <w:t>Таблиця 2</w:t>
      </w:r>
    </w:p>
    <w:tbl>
      <w:tblPr>
        <w:tblStyle w:val="af4"/>
        <w:tblW w:w="9044" w:type="dxa"/>
        <w:tblInd w:w="562" w:type="dxa"/>
        <w:tblLook w:val="04A0" w:firstRow="1" w:lastRow="0" w:firstColumn="1" w:lastColumn="0" w:noHBand="0" w:noVBand="1"/>
      </w:tblPr>
      <w:tblGrid>
        <w:gridCol w:w="2381"/>
        <w:gridCol w:w="2127"/>
        <w:gridCol w:w="2268"/>
        <w:gridCol w:w="2268"/>
      </w:tblGrid>
      <w:tr w:rsidR="008E2477" w:rsidRPr="00544C1E" w14:paraId="51CEA7B5" w14:textId="77777777" w:rsidTr="0072724A">
        <w:trPr>
          <w:trHeight w:val="1117"/>
        </w:trPr>
        <w:tc>
          <w:tcPr>
            <w:tcW w:w="2381" w:type="dxa"/>
          </w:tcPr>
          <w:p w14:paraId="7109F978" w14:textId="77777777" w:rsidR="008E2477" w:rsidRPr="00D20245" w:rsidRDefault="008E2477" w:rsidP="001A4E4A">
            <w:pPr>
              <w:ind w:left="-63" w:firstLine="63"/>
              <w:jc w:val="center"/>
              <w:rPr>
                <w:bCs/>
                <w:shd w:val="clear" w:color="auto" w:fill="FFFFFF"/>
              </w:rPr>
            </w:pPr>
            <w:r>
              <w:rPr>
                <w:bCs/>
                <w:shd w:val="clear" w:color="auto" w:fill="FFFFFF"/>
                <w:lang w:val="ru-RU"/>
              </w:rPr>
              <w:t>Пер</w:t>
            </w:r>
            <w:r>
              <w:rPr>
                <w:bCs/>
                <w:shd w:val="clear" w:color="auto" w:fill="FFFFFF"/>
              </w:rPr>
              <w:t>іод</w:t>
            </w:r>
          </w:p>
        </w:tc>
        <w:tc>
          <w:tcPr>
            <w:tcW w:w="2127" w:type="dxa"/>
          </w:tcPr>
          <w:p w14:paraId="26B45287" w14:textId="77777777" w:rsidR="008E2477" w:rsidRDefault="008E2477" w:rsidP="007A329B">
            <w:pPr>
              <w:jc w:val="center"/>
              <w:rPr>
                <w:bCs/>
                <w:shd w:val="clear" w:color="auto" w:fill="FFFFFF"/>
              </w:rPr>
            </w:pPr>
            <w:r>
              <w:rPr>
                <w:bCs/>
                <w:shd w:val="clear" w:color="auto" w:fill="FFFFFF"/>
              </w:rPr>
              <w:t xml:space="preserve">Загальний обсяг продажу електричної енергії на ринку ДД </w:t>
            </w:r>
            <w:r w:rsidRPr="004F5B96">
              <w:rPr>
                <w:bCs/>
                <w:shd w:val="clear" w:color="auto" w:fill="FFFFFF"/>
              </w:rPr>
              <w:t>(</w:t>
            </w:r>
            <w:r w:rsidRPr="0072724A">
              <w:rPr>
                <w:rStyle w:val="af5"/>
                <w:bCs/>
                <w:i w:val="0"/>
                <w:shd w:val="clear" w:color="auto" w:fill="FFFFFF"/>
              </w:rPr>
              <w:t>МВт</w:t>
            </w:r>
            <w:r w:rsidRPr="004F5B96">
              <w:rPr>
                <w:shd w:val="clear" w:color="auto" w:fill="FFFFFF"/>
              </w:rPr>
              <w:t>·</w:t>
            </w:r>
            <w:r w:rsidRPr="0072724A">
              <w:rPr>
                <w:rStyle w:val="af5"/>
                <w:bCs/>
                <w:i w:val="0"/>
                <w:shd w:val="clear" w:color="auto" w:fill="FFFFFF"/>
              </w:rPr>
              <w:t>год)</w:t>
            </w:r>
          </w:p>
        </w:tc>
        <w:tc>
          <w:tcPr>
            <w:tcW w:w="2268" w:type="dxa"/>
          </w:tcPr>
          <w:p w14:paraId="6ECEC81A" w14:textId="77777777" w:rsidR="008E2477" w:rsidRDefault="008E2477" w:rsidP="007A329B">
            <w:pPr>
              <w:jc w:val="center"/>
              <w:rPr>
                <w:bCs/>
                <w:shd w:val="clear" w:color="auto" w:fill="FFFFFF"/>
              </w:rPr>
            </w:pPr>
            <w:r>
              <w:rPr>
                <w:bCs/>
                <w:shd w:val="clear" w:color="auto" w:fill="FFFFFF"/>
              </w:rPr>
              <w:t xml:space="preserve">Обсяг продажу електричної енергії Товариства на ринку </w:t>
            </w:r>
            <w:r w:rsidRPr="004F5B96">
              <w:rPr>
                <w:bCs/>
                <w:shd w:val="clear" w:color="auto" w:fill="FFFFFF"/>
              </w:rPr>
              <w:t>ДД (</w:t>
            </w:r>
            <w:r w:rsidRPr="0072724A">
              <w:rPr>
                <w:rStyle w:val="af5"/>
                <w:bCs/>
                <w:i w:val="0"/>
                <w:shd w:val="clear" w:color="auto" w:fill="FFFFFF"/>
              </w:rPr>
              <w:t>МВт</w:t>
            </w:r>
            <w:r w:rsidRPr="004F5B96">
              <w:rPr>
                <w:shd w:val="clear" w:color="auto" w:fill="FFFFFF"/>
              </w:rPr>
              <w:t>·</w:t>
            </w:r>
            <w:r w:rsidRPr="0072724A">
              <w:rPr>
                <w:rStyle w:val="af5"/>
                <w:bCs/>
                <w:i w:val="0"/>
                <w:shd w:val="clear" w:color="auto" w:fill="FFFFFF"/>
              </w:rPr>
              <w:t>год)</w:t>
            </w:r>
          </w:p>
        </w:tc>
        <w:tc>
          <w:tcPr>
            <w:tcW w:w="2268" w:type="dxa"/>
          </w:tcPr>
          <w:p w14:paraId="0DDF7D18" w14:textId="77777777" w:rsidR="008E2477" w:rsidRDefault="008E2477" w:rsidP="007A329B">
            <w:pPr>
              <w:jc w:val="center"/>
              <w:rPr>
                <w:bCs/>
                <w:shd w:val="clear" w:color="auto" w:fill="FFFFFF"/>
              </w:rPr>
            </w:pPr>
            <w:r>
              <w:rPr>
                <w:bCs/>
                <w:shd w:val="clear" w:color="auto" w:fill="FFFFFF"/>
              </w:rPr>
              <w:t xml:space="preserve">Частка Товариства від загального обсягу продажу електричної енергії на ринку </w:t>
            </w:r>
            <w:r w:rsidRPr="004F5B96">
              <w:rPr>
                <w:bCs/>
                <w:shd w:val="clear" w:color="auto" w:fill="FFFFFF"/>
              </w:rPr>
              <w:t>ДД (%)</w:t>
            </w:r>
          </w:p>
        </w:tc>
      </w:tr>
      <w:tr w:rsidR="008E2477" w14:paraId="5AF32935" w14:textId="77777777" w:rsidTr="0072724A">
        <w:trPr>
          <w:trHeight w:val="220"/>
        </w:trPr>
        <w:tc>
          <w:tcPr>
            <w:tcW w:w="2381" w:type="dxa"/>
          </w:tcPr>
          <w:p w14:paraId="0004A81E" w14:textId="77777777" w:rsidR="008E2477" w:rsidRDefault="008E2477" w:rsidP="0072724A">
            <w:pPr>
              <w:jc w:val="center"/>
              <w:rPr>
                <w:bCs/>
                <w:shd w:val="clear" w:color="auto" w:fill="FFFFFF"/>
              </w:rPr>
            </w:pPr>
            <w:r>
              <w:rPr>
                <w:bCs/>
                <w:shd w:val="clear" w:color="auto" w:fill="FFFFFF"/>
              </w:rPr>
              <w:t>19 лютого 2021 року</w:t>
            </w:r>
          </w:p>
        </w:tc>
        <w:tc>
          <w:tcPr>
            <w:tcW w:w="2127" w:type="dxa"/>
          </w:tcPr>
          <w:p w14:paraId="4DB246D0" w14:textId="12903810" w:rsidR="008E2477" w:rsidRDefault="00D123EE" w:rsidP="0072724A">
            <w:pPr>
              <w:jc w:val="center"/>
              <w:rPr>
                <w:bCs/>
                <w:shd w:val="clear" w:color="auto" w:fill="FFFFFF"/>
              </w:rPr>
            </w:pPr>
            <w:r>
              <w:t>[к</w:t>
            </w:r>
            <w:r>
              <w:rPr>
                <w:i/>
              </w:rPr>
              <w:t>онфіденційна інформація</w:t>
            </w:r>
            <w:r>
              <w:t>]</w:t>
            </w:r>
          </w:p>
        </w:tc>
        <w:tc>
          <w:tcPr>
            <w:tcW w:w="2268" w:type="dxa"/>
          </w:tcPr>
          <w:p w14:paraId="4B537114" w14:textId="46C70825" w:rsidR="008E2477" w:rsidRDefault="00D123EE" w:rsidP="0072724A">
            <w:pPr>
              <w:jc w:val="center"/>
              <w:rPr>
                <w:bCs/>
                <w:shd w:val="clear" w:color="auto" w:fill="FFFFFF"/>
              </w:rPr>
            </w:pPr>
            <w:r>
              <w:t>[к</w:t>
            </w:r>
            <w:r>
              <w:rPr>
                <w:i/>
              </w:rPr>
              <w:t>онфіденційна інформація</w:t>
            </w:r>
            <w:r>
              <w:t>]</w:t>
            </w:r>
          </w:p>
        </w:tc>
        <w:tc>
          <w:tcPr>
            <w:tcW w:w="2268" w:type="dxa"/>
          </w:tcPr>
          <w:p w14:paraId="5B25F9F6" w14:textId="77777777" w:rsidR="008E2477" w:rsidRDefault="008E2477" w:rsidP="0072724A">
            <w:pPr>
              <w:jc w:val="center"/>
              <w:rPr>
                <w:bCs/>
                <w:shd w:val="clear" w:color="auto" w:fill="FFFFFF"/>
              </w:rPr>
            </w:pPr>
            <w:r>
              <w:rPr>
                <w:bCs/>
                <w:shd w:val="clear" w:color="auto" w:fill="FFFFFF"/>
              </w:rPr>
              <w:t>0</w:t>
            </w:r>
          </w:p>
        </w:tc>
      </w:tr>
      <w:tr w:rsidR="008E2477" w14:paraId="55FE59E3" w14:textId="77777777" w:rsidTr="0072724A">
        <w:trPr>
          <w:trHeight w:val="220"/>
        </w:trPr>
        <w:tc>
          <w:tcPr>
            <w:tcW w:w="2381" w:type="dxa"/>
          </w:tcPr>
          <w:p w14:paraId="3D80C419" w14:textId="26087F00" w:rsidR="008E2477" w:rsidRDefault="008E2477" w:rsidP="0072724A">
            <w:pPr>
              <w:jc w:val="center"/>
              <w:rPr>
                <w:bCs/>
                <w:shd w:val="clear" w:color="auto" w:fill="FFFFFF"/>
              </w:rPr>
            </w:pPr>
            <w:r>
              <w:rPr>
                <w:bCs/>
                <w:shd w:val="clear" w:color="auto" w:fill="FFFFFF"/>
              </w:rPr>
              <w:t>21</w:t>
            </w:r>
            <w:r w:rsidR="00E27155">
              <w:rPr>
                <w:bCs/>
                <w:shd w:val="clear" w:color="auto" w:fill="FFFFFF"/>
              </w:rPr>
              <w:t> </w:t>
            </w:r>
            <w:r>
              <w:rPr>
                <w:bCs/>
                <w:shd w:val="clear" w:color="auto" w:fill="FFFFFF"/>
              </w:rPr>
              <w:t>квітня</w:t>
            </w:r>
            <w:r w:rsidR="00E27155">
              <w:rPr>
                <w:bCs/>
                <w:shd w:val="clear" w:color="auto" w:fill="FFFFFF"/>
              </w:rPr>
              <w:t> </w:t>
            </w:r>
            <w:r>
              <w:rPr>
                <w:bCs/>
                <w:shd w:val="clear" w:color="auto" w:fill="FFFFFF"/>
              </w:rPr>
              <w:t>2021 року</w:t>
            </w:r>
          </w:p>
        </w:tc>
        <w:tc>
          <w:tcPr>
            <w:tcW w:w="2127" w:type="dxa"/>
          </w:tcPr>
          <w:p w14:paraId="0FEFD7DD" w14:textId="76023EF5" w:rsidR="008E2477" w:rsidRDefault="00D123EE" w:rsidP="0072724A">
            <w:pPr>
              <w:jc w:val="center"/>
              <w:rPr>
                <w:bCs/>
                <w:shd w:val="clear" w:color="auto" w:fill="FFFFFF"/>
              </w:rPr>
            </w:pPr>
            <w:r>
              <w:t>[к</w:t>
            </w:r>
            <w:r>
              <w:rPr>
                <w:i/>
              </w:rPr>
              <w:t>онфіденційна інформація</w:t>
            </w:r>
            <w:r>
              <w:t>]</w:t>
            </w:r>
          </w:p>
        </w:tc>
        <w:tc>
          <w:tcPr>
            <w:tcW w:w="2268" w:type="dxa"/>
          </w:tcPr>
          <w:p w14:paraId="7F38F885" w14:textId="5C8D7C5B" w:rsidR="008E2477" w:rsidRDefault="00D123EE" w:rsidP="0072724A">
            <w:pPr>
              <w:jc w:val="center"/>
              <w:rPr>
                <w:bCs/>
                <w:shd w:val="clear" w:color="auto" w:fill="FFFFFF"/>
              </w:rPr>
            </w:pPr>
            <w:r>
              <w:t>[к</w:t>
            </w:r>
            <w:r>
              <w:rPr>
                <w:i/>
              </w:rPr>
              <w:t>онфіденційна інформація</w:t>
            </w:r>
            <w:r>
              <w:t>]</w:t>
            </w:r>
          </w:p>
        </w:tc>
        <w:tc>
          <w:tcPr>
            <w:tcW w:w="2268" w:type="dxa"/>
          </w:tcPr>
          <w:p w14:paraId="47A31235" w14:textId="77777777" w:rsidR="008E2477" w:rsidRDefault="008E2477" w:rsidP="0072724A">
            <w:pPr>
              <w:jc w:val="center"/>
              <w:rPr>
                <w:bCs/>
                <w:shd w:val="clear" w:color="auto" w:fill="FFFFFF"/>
              </w:rPr>
            </w:pPr>
            <w:r>
              <w:rPr>
                <w:bCs/>
                <w:shd w:val="clear" w:color="auto" w:fill="FFFFFF"/>
              </w:rPr>
              <w:t>0</w:t>
            </w:r>
          </w:p>
        </w:tc>
      </w:tr>
      <w:tr w:rsidR="008E2477" w14:paraId="482F163C" w14:textId="77777777" w:rsidTr="0072724A">
        <w:trPr>
          <w:trHeight w:val="220"/>
        </w:trPr>
        <w:tc>
          <w:tcPr>
            <w:tcW w:w="2381" w:type="dxa"/>
          </w:tcPr>
          <w:p w14:paraId="19CB431E" w14:textId="39BEDE50" w:rsidR="008E2477" w:rsidRDefault="008E2477" w:rsidP="0072724A">
            <w:pPr>
              <w:jc w:val="center"/>
              <w:rPr>
                <w:bCs/>
                <w:shd w:val="clear" w:color="auto" w:fill="FFFFFF"/>
              </w:rPr>
            </w:pPr>
            <w:r>
              <w:rPr>
                <w:bCs/>
                <w:shd w:val="clear" w:color="auto" w:fill="FFFFFF"/>
              </w:rPr>
              <w:t>19</w:t>
            </w:r>
            <w:r w:rsidR="00E27155">
              <w:rPr>
                <w:bCs/>
                <w:shd w:val="clear" w:color="auto" w:fill="FFFFFF"/>
              </w:rPr>
              <w:t> </w:t>
            </w:r>
            <w:r>
              <w:rPr>
                <w:bCs/>
                <w:shd w:val="clear" w:color="auto" w:fill="FFFFFF"/>
              </w:rPr>
              <w:t>травня</w:t>
            </w:r>
            <w:r w:rsidR="00E27155">
              <w:rPr>
                <w:bCs/>
                <w:shd w:val="clear" w:color="auto" w:fill="FFFFFF"/>
              </w:rPr>
              <w:t xml:space="preserve"> </w:t>
            </w:r>
            <w:r>
              <w:rPr>
                <w:bCs/>
                <w:shd w:val="clear" w:color="auto" w:fill="FFFFFF"/>
              </w:rPr>
              <w:t>2021 року</w:t>
            </w:r>
          </w:p>
        </w:tc>
        <w:tc>
          <w:tcPr>
            <w:tcW w:w="2127" w:type="dxa"/>
          </w:tcPr>
          <w:p w14:paraId="25DA8DB9" w14:textId="30C93678" w:rsidR="008E2477" w:rsidRDefault="00D123EE" w:rsidP="0072724A">
            <w:pPr>
              <w:jc w:val="center"/>
              <w:rPr>
                <w:bCs/>
                <w:shd w:val="clear" w:color="auto" w:fill="FFFFFF"/>
              </w:rPr>
            </w:pPr>
            <w:r>
              <w:t>[к</w:t>
            </w:r>
            <w:r>
              <w:rPr>
                <w:i/>
              </w:rPr>
              <w:t>онфіденційна інформація</w:t>
            </w:r>
            <w:r>
              <w:t>]</w:t>
            </w:r>
          </w:p>
        </w:tc>
        <w:tc>
          <w:tcPr>
            <w:tcW w:w="2268" w:type="dxa"/>
          </w:tcPr>
          <w:p w14:paraId="4C7BB20C" w14:textId="265087B2" w:rsidR="008E2477" w:rsidRDefault="00D123EE" w:rsidP="0072724A">
            <w:pPr>
              <w:jc w:val="center"/>
              <w:rPr>
                <w:bCs/>
                <w:shd w:val="clear" w:color="auto" w:fill="FFFFFF"/>
              </w:rPr>
            </w:pPr>
            <w:r>
              <w:t>[к</w:t>
            </w:r>
            <w:r>
              <w:rPr>
                <w:i/>
              </w:rPr>
              <w:t>онфіденційна інформація</w:t>
            </w:r>
            <w:r>
              <w:t>]</w:t>
            </w:r>
          </w:p>
        </w:tc>
        <w:tc>
          <w:tcPr>
            <w:tcW w:w="2268" w:type="dxa"/>
          </w:tcPr>
          <w:p w14:paraId="406A46E8" w14:textId="77777777" w:rsidR="008E2477" w:rsidRDefault="008E2477" w:rsidP="0072724A">
            <w:pPr>
              <w:jc w:val="center"/>
              <w:rPr>
                <w:bCs/>
                <w:shd w:val="clear" w:color="auto" w:fill="FFFFFF"/>
              </w:rPr>
            </w:pPr>
            <w:r>
              <w:rPr>
                <w:bCs/>
                <w:shd w:val="clear" w:color="auto" w:fill="FFFFFF"/>
              </w:rPr>
              <w:t>0,204</w:t>
            </w:r>
          </w:p>
        </w:tc>
      </w:tr>
    </w:tbl>
    <w:p w14:paraId="43826A8D" w14:textId="6A637FE5" w:rsidR="00612038" w:rsidRPr="00441AEB" w:rsidRDefault="008E2477" w:rsidP="00612038">
      <w:pPr>
        <w:numPr>
          <w:ilvl w:val="0"/>
          <w:numId w:val="1"/>
        </w:numPr>
        <w:tabs>
          <w:tab w:val="clear" w:pos="360"/>
          <w:tab w:val="num" w:pos="567"/>
        </w:tabs>
        <w:spacing w:before="120" w:after="120"/>
        <w:ind w:left="567" w:hanging="567"/>
        <w:jc w:val="both"/>
      </w:pPr>
      <w:r w:rsidRPr="00612038">
        <w:t xml:space="preserve">Як вбачається з таблиці </w:t>
      </w:r>
      <w:r w:rsidR="00752426">
        <w:t>2</w:t>
      </w:r>
      <w:r w:rsidRPr="00612038">
        <w:t xml:space="preserve">, </w:t>
      </w:r>
      <w:r w:rsidRPr="00612038">
        <w:rPr>
          <w:bCs/>
        </w:rPr>
        <w:t xml:space="preserve">частка </w:t>
      </w:r>
      <w:r w:rsidRPr="00612038">
        <w:t xml:space="preserve">ТОВ «ЮТІЛІТІ ТРЕЙДІНГ» </w:t>
      </w:r>
      <w:r w:rsidRPr="00612038">
        <w:rPr>
          <w:bCs/>
        </w:rPr>
        <w:t xml:space="preserve">від загального обсягу продажу електричної енергії на ринку ДД протягом 19.02.2021, 21.04.2021, 19.05.2021 також була незначною. </w:t>
      </w:r>
    </w:p>
    <w:p w14:paraId="28CDA7FC" w14:textId="3FB2FC18" w:rsidR="00747F7D" w:rsidRPr="00747F7D" w:rsidRDefault="00612038" w:rsidP="00747F7D">
      <w:pPr>
        <w:pStyle w:val="aa"/>
        <w:numPr>
          <w:ilvl w:val="0"/>
          <w:numId w:val="4"/>
        </w:numPr>
        <w:tabs>
          <w:tab w:val="left" w:pos="567"/>
        </w:tabs>
        <w:spacing w:before="120" w:after="120"/>
        <w:rPr>
          <w:rFonts w:ascii="Times New Roman" w:hAnsi="Times New Roman"/>
          <w:b/>
          <w:sz w:val="24"/>
          <w:lang w:eastAsia="ru-RU"/>
        </w:rPr>
      </w:pPr>
      <w:r w:rsidRPr="00747F7D">
        <w:rPr>
          <w:rFonts w:ascii="Times New Roman" w:hAnsi="Times New Roman"/>
          <w:b/>
          <w:sz w:val="24"/>
          <w:lang w:eastAsia="ru-RU"/>
        </w:rPr>
        <w:t xml:space="preserve">ОБСТАВИНИ, ЯКІ </w:t>
      </w:r>
      <w:r w:rsidR="00544C1E" w:rsidRPr="00747F7D">
        <w:rPr>
          <w:rFonts w:ascii="Times New Roman" w:hAnsi="Times New Roman"/>
          <w:b/>
          <w:sz w:val="24"/>
          <w:lang w:eastAsia="ru-RU"/>
        </w:rPr>
        <w:t>МАЮТЬ НЕГАТИВНИЙ ВПЛИВ НА КОНКУРЕНЦІЮ</w:t>
      </w:r>
    </w:p>
    <w:p w14:paraId="1A00852C" w14:textId="444FDF0C" w:rsidR="009F67DB" w:rsidRDefault="00441AEB" w:rsidP="009F67DB">
      <w:pPr>
        <w:numPr>
          <w:ilvl w:val="0"/>
          <w:numId w:val="1"/>
        </w:numPr>
        <w:tabs>
          <w:tab w:val="clear" w:pos="360"/>
          <w:tab w:val="num" w:pos="567"/>
        </w:tabs>
        <w:spacing w:before="120" w:after="120"/>
        <w:ind w:left="567" w:hanging="567"/>
        <w:jc w:val="both"/>
      </w:pPr>
      <w:r>
        <w:t>Під час розгляду Клопотання встановлено, що п</w:t>
      </w:r>
      <w:r w:rsidR="009F67DB" w:rsidRPr="00150D9E">
        <w:t>ротягом лютого</w:t>
      </w:r>
      <w:r w:rsidR="00125995">
        <w:t xml:space="preserve"> − </w:t>
      </w:r>
      <w:r w:rsidR="009F67DB" w:rsidRPr="00150D9E">
        <w:t>травня 2021 року</w:t>
      </w:r>
      <w:r w:rsidR="009F67DB" w:rsidRPr="000449E5">
        <w:t xml:space="preserve"> ТОВ «ЮТІЛІТІ ТРЕЙДІНГ» </w:t>
      </w:r>
      <w:r w:rsidR="009F67DB" w:rsidRPr="009F67DB">
        <w:rPr>
          <w:u w:val="single"/>
        </w:rPr>
        <w:t>передавало</w:t>
      </w:r>
      <w:r w:rsidR="009F67DB" w:rsidRPr="000449E5">
        <w:t xml:space="preserve"> </w:t>
      </w:r>
      <w:r w:rsidR="009F67DB">
        <w:t xml:space="preserve">всю придбану </w:t>
      </w:r>
      <w:r w:rsidR="009F67DB" w:rsidRPr="000449E5">
        <w:t xml:space="preserve">електричну енергію </w:t>
      </w:r>
      <w:r w:rsidR="009F67DB">
        <w:t>у ПрАТ </w:t>
      </w:r>
      <w:r w:rsidR="009F67DB" w:rsidRPr="00F61A3C">
        <w:t>«УКРГІДРОЕНЕРГО</w:t>
      </w:r>
      <w:r w:rsidR="009F67DB">
        <w:t>»</w:t>
      </w:r>
      <w:r w:rsidR="009F67DB" w:rsidRPr="000449E5">
        <w:t xml:space="preserve"> </w:t>
      </w:r>
      <w:r w:rsidR="009F67DB" w:rsidRPr="00BA221D">
        <w:t>Електропостачальникам на підставі договорів</w:t>
      </w:r>
      <w:r w:rsidR="009F67DB" w:rsidRPr="000449E5">
        <w:t xml:space="preserve"> </w:t>
      </w:r>
      <w:r w:rsidR="009F67DB">
        <w:t xml:space="preserve">купівлі-продажу електричної енергії </w:t>
      </w:r>
      <w:r w:rsidR="009F67DB" w:rsidRPr="000449E5">
        <w:t xml:space="preserve">в обсягах, </w:t>
      </w:r>
      <w:r w:rsidR="00125995" w:rsidRPr="000449E5">
        <w:t>визначен</w:t>
      </w:r>
      <w:r w:rsidR="00125995">
        <w:t>их</w:t>
      </w:r>
      <w:r w:rsidR="00125995" w:rsidRPr="000449E5">
        <w:t xml:space="preserve"> </w:t>
      </w:r>
      <w:r w:rsidR="009F67DB" w:rsidRPr="000449E5">
        <w:t xml:space="preserve">графіками погодинного обсягу </w:t>
      </w:r>
      <w:r w:rsidR="009F67DB" w:rsidRPr="000449E5">
        <w:lastRenderedPageBreak/>
        <w:t>купівлі-продажу електричної енергії</w:t>
      </w:r>
      <w:r w:rsidR="00125995">
        <w:t>,</w:t>
      </w:r>
      <w:r w:rsidR="009F67DB" w:rsidRPr="000449E5">
        <w:t xml:space="preserve"> та за ціною, </w:t>
      </w:r>
      <w:r w:rsidR="00125995">
        <w:t>встановленою</w:t>
      </w:r>
      <w:r w:rsidR="00125995" w:rsidRPr="000449E5">
        <w:t xml:space="preserve"> </w:t>
      </w:r>
      <w:r w:rsidR="009F67DB" w:rsidRPr="000449E5">
        <w:t>в додатках до договорі</w:t>
      </w:r>
      <w:r w:rsidR="009F67DB">
        <w:t>в, а саме:</w:t>
      </w:r>
      <w:r w:rsidR="009F67DB" w:rsidRPr="000449E5">
        <w:t xml:space="preserve"> </w:t>
      </w:r>
    </w:p>
    <w:p w14:paraId="27BB5BDD" w14:textId="691B4557" w:rsidR="009F67DB" w:rsidRDefault="009F67DB" w:rsidP="009F67DB">
      <w:pPr>
        <w:numPr>
          <w:ilvl w:val="0"/>
          <w:numId w:val="1"/>
        </w:numPr>
        <w:tabs>
          <w:tab w:val="clear" w:pos="360"/>
          <w:tab w:val="num" w:pos="567"/>
        </w:tabs>
        <w:spacing w:before="120" w:after="120"/>
        <w:ind w:left="567" w:hanging="567"/>
        <w:jc w:val="both"/>
      </w:pPr>
      <w:r w:rsidRPr="009A7DED">
        <w:t>ТОВ «АГЕНЦІЯ</w:t>
      </w:r>
      <w:r>
        <w:t xml:space="preserve"> І</w:t>
      </w:r>
      <w:r w:rsidRPr="009A7DED">
        <w:t>НВЕСТИЦІЙНОГО МЕНЕДЖМЕНТУ»</w:t>
      </w:r>
      <w:r>
        <w:t xml:space="preserve"> </w:t>
      </w:r>
      <w:r w:rsidR="00125995">
        <w:t xml:space="preserve">− </w:t>
      </w:r>
      <w:r>
        <w:t xml:space="preserve">на підставі договору </w:t>
      </w:r>
      <w:r w:rsidR="005D479E" w:rsidRPr="00FC148C">
        <w:t>[</w:t>
      </w:r>
      <w:r w:rsidR="005D479E">
        <w:t>к</w:t>
      </w:r>
      <w:r w:rsidR="005D479E" w:rsidRPr="00FC148C">
        <w:rPr>
          <w:i/>
        </w:rPr>
        <w:t>онфіденційна інформація</w:t>
      </w:r>
      <w:r w:rsidR="005D479E" w:rsidRPr="00FC148C">
        <w:t>]</w:t>
      </w:r>
      <w:r w:rsidRPr="009A7DED">
        <w:t>;</w:t>
      </w:r>
    </w:p>
    <w:p w14:paraId="673D2E33" w14:textId="4A40CD1B" w:rsidR="009F67DB" w:rsidRDefault="009F67DB" w:rsidP="009F67DB">
      <w:pPr>
        <w:numPr>
          <w:ilvl w:val="0"/>
          <w:numId w:val="1"/>
        </w:numPr>
        <w:tabs>
          <w:tab w:val="clear" w:pos="360"/>
          <w:tab w:val="num" w:pos="567"/>
        </w:tabs>
        <w:spacing w:before="120" w:after="120"/>
        <w:ind w:left="567" w:hanging="567"/>
        <w:jc w:val="both"/>
      </w:pPr>
      <w:r w:rsidRPr="009A7DED">
        <w:t>ТОВ «НОВА-ЕНЕРГЕТИЧНА</w:t>
      </w:r>
      <w:r>
        <w:t>-</w:t>
      </w:r>
      <w:r w:rsidRPr="009A7DED">
        <w:t xml:space="preserve">КОМПАНІЯ» </w:t>
      </w:r>
      <w:r w:rsidR="00125995">
        <w:t xml:space="preserve">− </w:t>
      </w:r>
      <w:r>
        <w:t xml:space="preserve">на підставі договору </w:t>
      </w:r>
      <w:r w:rsidR="005D479E" w:rsidRPr="00FC148C">
        <w:t>[</w:t>
      </w:r>
      <w:r w:rsidR="005D479E">
        <w:t>к</w:t>
      </w:r>
      <w:r w:rsidR="005D479E" w:rsidRPr="00FC148C">
        <w:rPr>
          <w:i/>
        </w:rPr>
        <w:t>онфіденційна інформація</w:t>
      </w:r>
      <w:r w:rsidR="005D479E" w:rsidRPr="00FC148C">
        <w:t>]</w:t>
      </w:r>
      <w:r w:rsidR="005D479E" w:rsidRPr="005D479E">
        <w:rPr>
          <w:lang w:val="ru-RU"/>
        </w:rPr>
        <w:t>;</w:t>
      </w:r>
    </w:p>
    <w:p w14:paraId="0C0CE887" w14:textId="0AC3FFDA" w:rsidR="009F67DB" w:rsidRDefault="009F67DB" w:rsidP="009F67DB">
      <w:pPr>
        <w:numPr>
          <w:ilvl w:val="0"/>
          <w:numId w:val="1"/>
        </w:numPr>
        <w:tabs>
          <w:tab w:val="clear" w:pos="360"/>
          <w:tab w:val="num" w:pos="567"/>
        </w:tabs>
        <w:spacing w:before="120" w:after="120"/>
        <w:ind w:left="567" w:hanging="567"/>
        <w:jc w:val="both"/>
      </w:pPr>
      <w:r w:rsidRPr="009A7DED">
        <w:t>ТОВ «МАГІСТРАЛЬ</w:t>
      </w:r>
      <w:r>
        <w:t xml:space="preserve"> </w:t>
      </w:r>
      <w:r w:rsidRPr="009A7DED">
        <w:t xml:space="preserve">ЕНЕРГО» </w:t>
      </w:r>
      <w:r w:rsidR="00125995">
        <w:t xml:space="preserve">− </w:t>
      </w:r>
      <w:r>
        <w:t xml:space="preserve">на підставі договору </w:t>
      </w:r>
      <w:r w:rsidR="005D479E" w:rsidRPr="00FC148C">
        <w:t>[</w:t>
      </w:r>
      <w:r w:rsidR="005D479E">
        <w:t>к</w:t>
      </w:r>
      <w:r w:rsidR="005D479E" w:rsidRPr="00FC148C">
        <w:rPr>
          <w:i/>
        </w:rPr>
        <w:t>онфіденційна інформація</w:t>
      </w:r>
      <w:r w:rsidR="005D479E" w:rsidRPr="00FC148C">
        <w:t>]</w:t>
      </w:r>
      <w:r w:rsidR="005D479E">
        <w:rPr>
          <w:lang w:val="ru-RU"/>
        </w:rPr>
        <w:t>.</w:t>
      </w:r>
    </w:p>
    <w:p w14:paraId="4A6C44C6" w14:textId="0FED9F8F" w:rsidR="009F67DB" w:rsidRPr="00BD015B" w:rsidRDefault="009F67DB" w:rsidP="009F67DB">
      <w:pPr>
        <w:numPr>
          <w:ilvl w:val="0"/>
          <w:numId w:val="1"/>
        </w:numPr>
        <w:tabs>
          <w:tab w:val="clear" w:pos="360"/>
          <w:tab w:val="num" w:pos="567"/>
        </w:tabs>
        <w:spacing w:before="120" w:after="120"/>
        <w:ind w:left="567" w:hanging="567"/>
        <w:jc w:val="both"/>
        <w:rPr>
          <w:color w:val="000000" w:themeColor="text1"/>
        </w:rPr>
      </w:pPr>
      <w:r w:rsidRPr="00BA7A16">
        <w:rPr>
          <w:rFonts w:hint="eastAsia"/>
        </w:rPr>
        <w:t>З</w:t>
      </w:r>
      <w:r w:rsidRPr="00BA7A16">
        <w:t xml:space="preserve">і </w:t>
      </w:r>
      <w:r w:rsidRPr="009A7DED">
        <w:rPr>
          <w:rFonts w:hint="eastAsia"/>
        </w:rPr>
        <w:t>змісту</w:t>
      </w:r>
      <w:r w:rsidRPr="009A7DED">
        <w:t xml:space="preserve"> </w:t>
      </w:r>
      <w:r w:rsidRPr="009A7DED">
        <w:rPr>
          <w:rFonts w:hint="eastAsia"/>
        </w:rPr>
        <w:t>зазначених</w:t>
      </w:r>
      <w:r w:rsidRPr="009A7DED">
        <w:t xml:space="preserve"> </w:t>
      </w:r>
      <w:r w:rsidRPr="009A7DED">
        <w:rPr>
          <w:rFonts w:hint="eastAsia"/>
        </w:rPr>
        <w:t>двосторонніх</w:t>
      </w:r>
      <w:r w:rsidRPr="009A7DED">
        <w:t xml:space="preserve"> </w:t>
      </w:r>
      <w:r w:rsidRPr="009A7DED">
        <w:rPr>
          <w:rFonts w:hint="eastAsia"/>
        </w:rPr>
        <w:t>договорів</w:t>
      </w:r>
      <w:r w:rsidRPr="009A7DED">
        <w:t xml:space="preserve">, </w:t>
      </w:r>
      <w:r w:rsidRPr="009A7DED">
        <w:rPr>
          <w:rFonts w:hint="eastAsia"/>
        </w:rPr>
        <w:t>а</w:t>
      </w:r>
      <w:r w:rsidRPr="009A7DED">
        <w:t xml:space="preserve"> </w:t>
      </w:r>
      <w:r w:rsidRPr="009A7DED">
        <w:rPr>
          <w:rFonts w:hint="eastAsia"/>
        </w:rPr>
        <w:t>саме</w:t>
      </w:r>
      <w:r w:rsidRPr="009A7DED">
        <w:t xml:space="preserve">: </w:t>
      </w:r>
      <w:r w:rsidR="005D479E" w:rsidRPr="00FC148C">
        <w:t>[</w:t>
      </w:r>
      <w:r w:rsidR="005D479E">
        <w:t>к</w:t>
      </w:r>
      <w:r w:rsidR="005D479E" w:rsidRPr="00FC148C">
        <w:rPr>
          <w:i/>
        </w:rPr>
        <w:t>онфіденційна інформація</w:t>
      </w:r>
      <w:r w:rsidR="005D479E" w:rsidRPr="00FC148C">
        <w:t>]</w:t>
      </w:r>
      <w:r w:rsidRPr="009A7DED">
        <w:t xml:space="preserve">, </w:t>
      </w:r>
      <w:r w:rsidRPr="009F67DB">
        <w:rPr>
          <w:u w:val="single"/>
        </w:rPr>
        <w:t xml:space="preserve"> </w:t>
      </w:r>
      <w:r w:rsidRPr="009F67DB">
        <w:rPr>
          <w:rFonts w:hint="eastAsia"/>
          <w:u w:val="single"/>
        </w:rPr>
        <w:t>встановлено</w:t>
      </w:r>
      <w:r w:rsidRPr="009F67DB">
        <w:rPr>
          <w:u w:val="single"/>
        </w:rPr>
        <w:t xml:space="preserve"> </w:t>
      </w:r>
      <w:r w:rsidRPr="009F67DB">
        <w:rPr>
          <w:rFonts w:hint="eastAsia"/>
          <w:u w:val="single"/>
        </w:rPr>
        <w:t>факти</w:t>
      </w:r>
      <w:r w:rsidRPr="009F67DB">
        <w:rPr>
          <w:u w:val="single"/>
        </w:rPr>
        <w:t xml:space="preserve"> </w:t>
      </w:r>
      <w:r w:rsidRPr="009F67DB">
        <w:rPr>
          <w:rFonts w:hint="eastAsia"/>
          <w:u w:val="single"/>
        </w:rPr>
        <w:t>включення</w:t>
      </w:r>
      <w:r w:rsidRPr="009F67DB">
        <w:rPr>
          <w:u w:val="single"/>
        </w:rPr>
        <w:t xml:space="preserve"> </w:t>
      </w:r>
      <w:r w:rsidRPr="009F67DB">
        <w:rPr>
          <w:rFonts w:hint="eastAsia"/>
          <w:u w:val="single"/>
        </w:rPr>
        <w:t>ТОВ</w:t>
      </w:r>
      <w:r w:rsidRPr="009F67DB">
        <w:rPr>
          <w:u w:val="single"/>
        </w:rPr>
        <w:t xml:space="preserve"> «</w:t>
      </w:r>
      <w:r w:rsidRPr="009F67DB">
        <w:rPr>
          <w:rFonts w:hint="eastAsia"/>
          <w:u w:val="single"/>
        </w:rPr>
        <w:t>ЮТІЛ</w:t>
      </w:r>
      <w:r w:rsidR="00F155DF">
        <w:rPr>
          <w:rFonts w:hint="eastAsia"/>
          <w:u w:val="single"/>
        </w:rPr>
        <w:t>І</w:t>
      </w:r>
      <w:r w:rsidRPr="009F67DB">
        <w:rPr>
          <w:rFonts w:hint="eastAsia"/>
          <w:u w:val="single"/>
        </w:rPr>
        <w:t>ТІ</w:t>
      </w:r>
      <w:r w:rsidRPr="009F67DB">
        <w:rPr>
          <w:u w:val="single"/>
        </w:rPr>
        <w:t xml:space="preserve"> </w:t>
      </w:r>
      <w:r w:rsidRPr="009F67DB">
        <w:rPr>
          <w:rFonts w:hint="eastAsia"/>
          <w:u w:val="single"/>
        </w:rPr>
        <w:t>ТРЕЙДІНГ»</w:t>
      </w:r>
      <w:r w:rsidRPr="009F67DB">
        <w:rPr>
          <w:u w:val="single"/>
        </w:rPr>
        <w:t xml:space="preserve"> </w:t>
      </w:r>
      <w:r w:rsidRPr="009F67DB">
        <w:rPr>
          <w:rFonts w:hint="eastAsia"/>
          <w:u w:val="single"/>
        </w:rPr>
        <w:t>до</w:t>
      </w:r>
      <w:r w:rsidRPr="009F67DB">
        <w:rPr>
          <w:u w:val="single"/>
        </w:rPr>
        <w:t xml:space="preserve"> </w:t>
      </w:r>
      <w:r w:rsidRPr="009F67DB">
        <w:rPr>
          <w:rFonts w:hint="eastAsia"/>
          <w:u w:val="single"/>
        </w:rPr>
        <w:t>умов</w:t>
      </w:r>
      <w:r w:rsidRPr="009F67DB">
        <w:rPr>
          <w:u w:val="single"/>
        </w:rPr>
        <w:t xml:space="preserve"> </w:t>
      </w:r>
      <w:r w:rsidRPr="009F67DB">
        <w:rPr>
          <w:rFonts w:hint="eastAsia"/>
          <w:u w:val="single"/>
        </w:rPr>
        <w:t>договорі</w:t>
      </w:r>
      <w:r w:rsidRPr="009F67DB">
        <w:rPr>
          <w:u w:val="single"/>
        </w:rPr>
        <w:t xml:space="preserve">в </w:t>
      </w:r>
      <w:r w:rsidR="00BB2438">
        <w:rPr>
          <w:u w:val="single"/>
        </w:rPr>
        <w:t>такої</w:t>
      </w:r>
      <w:r w:rsidR="00BB2438" w:rsidRPr="009F67DB">
        <w:rPr>
          <w:u w:val="single"/>
        </w:rPr>
        <w:t xml:space="preserve"> </w:t>
      </w:r>
      <w:r w:rsidRPr="009F67DB">
        <w:rPr>
          <w:u w:val="single"/>
        </w:rPr>
        <w:t xml:space="preserve">умови: «Не продавати, куплений у Продавця, обсяг електроенергії на РДН </w:t>
      </w:r>
      <w:r w:rsidRPr="00BD015B">
        <w:rPr>
          <w:color w:val="000000" w:themeColor="text1"/>
          <w:u w:val="single"/>
        </w:rPr>
        <w:t xml:space="preserve">(ринку «на добу наперед»). </w:t>
      </w:r>
      <w:r w:rsidR="005D479E">
        <w:rPr>
          <w:color w:val="000000" w:themeColor="text1"/>
          <w:u w:val="single"/>
          <w:lang w:val="ru-RU"/>
        </w:rPr>
        <w:t xml:space="preserve"> </w:t>
      </w:r>
    </w:p>
    <w:p w14:paraId="5E1B8391" w14:textId="7BDA8D38" w:rsidR="009F67DB" w:rsidRPr="00BD015B" w:rsidRDefault="009F67DB" w:rsidP="009F67DB">
      <w:pPr>
        <w:numPr>
          <w:ilvl w:val="0"/>
          <w:numId w:val="1"/>
        </w:numPr>
        <w:tabs>
          <w:tab w:val="clear" w:pos="360"/>
          <w:tab w:val="num" w:pos="567"/>
        </w:tabs>
        <w:spacing w:before="120" w:after="120"/>
        <w:ind w:left="567" w:hanging="567"/>
        <w:jc w:val="both"/>
        <w:rPr>
          <w:color w:val="000000" w:themeColor="text1"/>
        </w:rPr>
      </w:pPr>
      <w:r w:rsidRPr="00BD015B">
        <w:rPr>
          <w:color w:val="000000" w:themeColor="text1"/>
        </w:rPr>
        <w:t>Відповідно до Правил ринку</w:t>
      </w:r>
      <w:r w:rsidRPr="00BD015B">
        <w:rPr>
          <w:rStyle w:val="rvts23"/>
          <w:color w:val="000000" w:themeColor="text1"/>
        </w:rPr>
        <w:t xml:space="preserve"> «на добу наперед» та внутрішньодобового ринку, затверджених </w:t>
      </w:r>
      <w:r w:rsidRPr="00BD015B">
        <w:rPr>
          <w:rStyle w:val="rvts9"/>
          <w:color w:val="000000" w:themeColor="text1"/>
        </w:rPr>
        <w:t>Постановою НКРЕКП</w:t>
      </w:r>
      <w:r w:rsidRPr="00BD015B">
        <w:rPr>
          <w:rStyle w:val="apple-converted-space"/>
          <w:color w:val="000000" w:themeColor="text1"/>
        </w:rPr>
        <w:t> </w:t>
      </w:r>
      <w:r w:rsidR="00BB2438">
        <w:rPr>
          <w:rStyle w:val="apple-converted-space"/>
          <w:color w:val="000000" w:themeColor="text1"/>
        </w:rPr>
        <w:t xml:space="preserve">від </w:t>
      </w:r>
      <w:r w:rsidRPr="00BD015B">
        <w:rPr>
          <w:rStyle w:val="rvts9"/>
          <w:color w:val="000000" w:themeColor="text1"/>
        </w:rPr>
        <w:t>14.03.2018 № 308</w:t>
      </w:r>
      <w:r w:rsidRPr="00BD015B">
        <w:rPr>
          <w:rStyle w:val="apple-converted-space"/>
          <w:color w:val="000000" w:themeColor="text1"/>
        </w:rPr>
        <w:t xml:space="preserve"> </w:t>
      </w:r>
      <w:r w:rsidRPr="00BD015B">
        <w:rPr>
          <w:rStyle w:val="rvts9"/>
          <w:color w:val="000000" w:themeColor="text1"/>
        </w:rPr>
        <w:t>(у редакції постанови НКРЕКП</w:t>
      </w:r>
      <w:r w:rsidRPr="00BD015B">
        <w:rPr>
          <w:rStyle w:val="apple-converted-space"/>
          <w:color w:val="000000" w:themeColor="text1"/>
        </w:rPr>
        <w:t> </w:t>
      </w:r>
      <w:hyperlink r:id="rId13" w:anchor="n14" w:tgtFrame="_blank" w:history="1">
        <w:r w:rsidRPr="00BD015B">
          <w:rPr>
            <w:rStyle w:val="af2"/>
            <w:color w:val="000000" w:themeColor="text1"/>
          </w:rPr>
          <w:t>від 24.06.2019 № 1169</w:t>
        </w:r>
      </w:hyperlink>
      <w:r w:rsidRPr="00BD015B">
        <w:rPr>
          <w:rStyle w:val="rvts9"/>
          <w:color w:val="000000" w:themeColor="text1"/>
        </w:rPr>
        <w:t>)</w:t>
      </w:r>
      <w:r w:rsidR="00BB2438">
        <w:rPr>
          <w:rStyle w:val="rvts9"/>
          <w:color w:val="000000" w:themeColor="text1"/>
        </w:rPr>
        <w:t>,</w:t>
      </w:r>
      <w:r w:rsidRPr="00BD015B">
        <w:rPr>
          <w:color w:val="000000" w:themeColor="text1"/>
        </w:rPr>
        <w:t xml:space="preserve"> у</w:t>
      </w:r>
      <w:r w:rsidRPr="00BD015B">
        <w:rPr>
          <w:color w:val="000000" w:themeColor="text1"/>
          <w:shd w:val="clear" w:color="auto" w:fill="FFFFFF"/>
        </w:rPr>
        <w:t>часниками РДН/ВДР можуть бути виробники, електропостачальники, трейдери, ОСП, ОСР, гарантований покупець та споживачі, які в установленому</w:t>
      </w:r>
      <w:r w:rsidRPr="00BD015B">
        <w:rPr>
          <w:rStyle w:val="apple-converted-space"/>
          <w:color w:val="000000" w:themeColor="text1"/>
          <w:shd w:val="clear" w:color="auto" w:fill="FFFFFF"/>
        </w:rPr>
        <w:t> </w:t>
      </w:r>
      <w:hyperlink r:id="rId14" w:anchor="n9" w:tgtFrame="_blank" w:history="1">
        <w:r w:rsidRPr="00BD015B">
          <w:rPr>
            <w:rStyle w:val="af2"/>
            <w:color w:val="000000" w:themeColor="text1"/>
          </w:rPr>
          <w:t>Правилами ринку</w:t>
        </w:r>
      </w:hyperlink>
      <w:r w:rsidRPr="00BD015B">
        <w:rPr>
          <w:rStyle w:val="af1"/>
          <w:color w:val="000000" w:themeColor="text1"/>
        </w:rPr>
        <w:footnoteReference w:id="8"/>
      </w:r>
      <w:r w:rsidRPr="00BD015B">
        <w:rPr>
          <w:color w:val="000000" w:themeColor="text1"/>
          <w:shd w:val="clear" w:color="auto" w:fill="FFFFFF"/>
        </w:rPr>
        <w:t xml:space="preserve"> порядку уклали з ОСП договір про врегулювання небалансів електричної енергії та </w:t>
      </w:r>
      <w:r w:rsidR="00BB2438">
        <w:rPr>
          <w:color w:val="000000" w:themeColor="text1"/>
          <w:shd w:val="clear" w:color="auto" w:fill="FFFFFF"/>
        </w:rPr>
        <w:t>в</w:t>
      </w:r>
      <w:r w:rsidR="00BB2438" w:rsidRPr="00BD015B">
        <w:rPr>
          <w:color w:val="000000" w:themeColor="text1"/>
          <w:shd w:val="clear" w:color="auto" w:fill="FFFFFF"/>
        </w:rPr>
        <w:t xml:space="preserve"> </w:t>
      </w:r>
      <w:r w:rsidRPr="00BD015B">
        <w:rPr>
          <w:color w:val="000000" w:themeColor="text1"/>
          <w:shd w:val="clear" w:color="auto" w:fill="FFFFFF"/>
        </w:rPr>
        <w:t>порядку, визначеному цими Правилами, уклали з ОР договір про участь у РДН та ВДР.</w:t>
      </w:r>
    </w:p>
    <w:p w14:paraId="3354CA89" w14:textId="0A689CF3" w:rsidR="009F67DB" w:rsidRPr="00BD015B" w:rsidRDefault="009F67DB" w:rsidP="009F67DB">
      <w:pPr>
        <w:numPr>
          <w:ilvl w:val="0"/>
          <w:numId w:val="1"/>
        </w:numPr>
        <w:tabs>
          <w:tab w:val="clear" w:pos="360"/>
          <w:tab w:val="num" w:pos="567"/>
        </w:tabs>
        <w:spacing w:before="120" w:after="120"/>
        <w:ind w:left="567" w:hanging="567"/>
        <w:jc w:val="both"/>
        <w:rPr>
          <w:color w:val="000000" w:themeColor="text1"/>
        </w:rPr>
      </w:pPr>
      <w:r w:rsidRPr="00BD015B">
        <w:rPr>
          <w:color w:val="000000" w:themeColor="text1"/>
          <w:u w:val="single"/>
          <w:shd w:val="clear" w:color="auto" w:fill="FFFFFF"/>
        </w:rPr>
        <w:t xml:space="preserve">Отже, Електропостачальники </w:t>
      </w:r>
      <w:r w:rsidR="00740F18">
        <w:rPr>
          <w:color w:val="000000" w:themeColor="text1"/>
          <w:u w:val="single"/>
          <w:shd w:val="clear" w:color="auto" w:fill="FFFFFF"/>
        </w:rPr>
        <w:t>й</w:t>
      </w:r>
      <w:r w:rsidR="00740F18" w:rsidRPr="00BD015B">
        <w:rPr>
          <w:color w:val="000000" w:themeColor="text1"/>
          <w:u w:val="single"/>
          <w:shd w:val="clear" w:color="auto" w:fill="FFFFFF"/>
        </w:rPr>
        <w:t xml:space="preserve"> </w:t>
      </w:r>
      <w:r w:rsidRPr="00BD015B">
        <w:rPr>
          <w:rFonts w:hint="eastAsia"/>
          <w:color w:val="000000" w:themeColor="text1"/>
          <w:u w:val="single"/>
        </w:rPr>
        <w:t>ТОВ</w:t>
      </w:r>
      <w:r w:rsidRPr="00BD015B">
        <w:rPr>
          <w:color w:val="000000" w:themeColor="text1"/>
          <w:u w:val="single"/>
        </w:rPr>
        <w:t xml:space="preserve"> «</w:t>
      </w:r>
      <w:r w:rsidRPr="00BD015B">
        <w:rPr>
          <w:rFonts w:hint="eastAsia"/>
          <w:color w:val="000000" w:themeColor="text1"/>
          <w:u w:val="single"/>
        </w:rPr>
        <w:t>ЮТІЛТІ</w:t>
      </w:r>
      <w:r w:rsidRPr="00BD015B">
        <w:rPr>
          <w:color w:val="000000" w:themeColor="text1"/>
          <w:u w:val="single"/>
        </w:rPr>
        <w:t xml:space="preserve"> </w:t>
      </w:r>
      <w:r w:rsidRPr="00BD015B">
        <w:rPr>
          <w:rFonts w:hint="eastAsia"/>
          <w:color w:val="000000" w:themeColor="text1"/>
          <w:u w:val="single"/>
        </w:rPr>
        <w:t>ТРЕЙДІНГ»</w:t>
      </w:r>
      <w:r w:rsidRPr="00BD015B">
        <w:rPr>
          <w:color w:val="000000" w:themeColor="text1"/>
          <w:u w:val="single"/>
        </w:rPr>
        <w:t xml:space="preserve"> (як трейдер) є або можуть бути потенційними горизонтальними конкурентами на РДН. </w:t>
      </w:r>
    </w:p>
    <w:p w14:paraId="40CBF49E" w14:textId="138C2C8B" w:rsidR="009F67DB" w:rsidRDefault="009F67DB" w:rsidP="009F67DB">
      <w:pPr>
        <w:numPr>
          <w:ilvl w:val="0"/>
          <w:numId w:val="1"/>
        </w:numPr>
        <w:tabs>
          <w:tab w:val="clear" w:pos="360"/>
          <w:tab w:val="num" w:pos="567"/>
        </w:tabs>
        <w:spacing w:before="120" w:after="120"/>
        <w:ind w:left="567" w:hanging="567"/>
        <w:jc w:val="both"/>
        <w:rPr>
          <w:color w:val="000000" w:themeColor="text1"/>
        </w:rPr>
      </w:pPr>
      <w:r w:rsidRPr="00747F7D">
        <w:rPr>
          <w:color w:val="000000" w:themeColor="text1"/>
        </w:rPr>
        <w:t xml:space="preserve">Відтак вказані вище договірні положення, які містять обмеження щодо можливості виходу </w:t>
      </w:r>
      <w:r w:rsidR="000162C2" w:rsidRPr="00747F7D">
        <w:rPr>
          <w:color w:val="000000" w:themeColor="text1"/>
        </w:rPr>
        <w:t>конкурент</w:t>
      </w:r>
      <w:r w:rsidR="000162C2">
        <w:rPr>
          <w:color w:val="000000" w:themeColor="text1"/>
        </w:rPr>
        <w:t>а</w:t>
      </w:r>
      <w:r w:rsidR="000162C2" w:rsidRPr="00747F7D">
        <w:rPr>
          <w:color w:val="000000" w:themeColor="text1"/>
        </w:rPr>
        <w:t xml:space="preserve"> </w:t>
      </w:r>
      <w:r w:rsidRPr="00747F7D">
        <w:rPr>
          <w:color w:val="000000" w:themeColor="text1"/>
        </w:rPr>
        <w:t>на РДН</w:t>
      </w:r>
      <w:r w:rsidR="000162C2">
        <w:rPr>
          <w:color w:val="000000" w:themeColor="text1"/>
        </w:rPr>
        <w:t>,</w:t>
      </w:r>
      <w:r w:rsidRPr="00747F7D">
        <w:rPr>
          <w:color w:val="000000" w:themeColor="text1"/>
        </w:rPr>
        <w:t xml:space="preserve"> </w:t>
      </w:r>
      <w:r w:rsidR="00BD015B">
        <w:rPr>
          <w:color w:val="000000" w:themeColor="text1"/>
        </w:rPr>
        <w:t>мають негативний вплив на конкуренцію, оскільки обмежують право Електропостачальників виходити на РДН, що не передбачено чинним законодавством.</w:t>
      </w:r>
    </w:p>
    <w:p w14:paraId="788A14B6" w14:textId="51BAA6A9" w:rsidR="00BD015B" w:rsidRPr="00BD015B" w:rsidRDefault="00BD015B" w:rsidP="00BD015B">
      <w:pPr>
        <w:numPr>
          <w:ilvl w:val="0"/>
          <w:numId w:val="1"/>
        </w:numPr>
        <w:tabs>
          <w:tab w:val="clear" w:pos="360"/>
          <w:tab w:val="num" w:pos="567"/>
        </w:tabs>
        <w:spacing w:before="120" w:after="120"/>
        <w:ind w:left="567" w:hanging="567"/>
        <w:jc w:val="both"/>
      </w:pPr>
      <w:r w:rsidRPr="00531EC1">
        <w:t>З аналізу матеріалів</w:t>
      </w:r>
      <w:r w:rsidR="00916699">
        <w:t xml:space="preserve"> </w:t>
      </w:r>
      <w:r w:rsidRPr="00531EC1">
        <w:t xml:space="preserve"> </w:t>
      </w:r>
      <w:r w:rsidR="000162C2" w:rsidRPr="00531EC1">
        <w:t>прос</w:t>
      </w:r>
      <w:r w:rsidR="000162C2">
        <w:t>тежу</w:t>
      </w:r>
      <w:r w:rsidR="000162C2" w:rsidRPr="00531EC1">
        <w:t>ється</w:t>
      </w:r>
      <w:r w:rsidRPr="00531EC1">
        <w:t xml:space="preserve">, що </w:t>
      </w:r>
      <w:r w:rsidR="000162C2">
        <w:t>в</w:t>
      </w:r>
      <w:r w:rsidR="000162C2" w:rsidRPr="00531EC1">
        <w:t xml:space="preserve"> </w:t>
      </w:r>
      <w:r w:rsidRPr="00531EC1">
        <w:t>період лютого</w:t>
      </w:r>
      <w:r w:rsidR="000162C2">
        <w:t xml:space="preserve"> − </w:t>
      </w:r>
      <w:r w:rsidR="000162C2" w:rsidRPr="00531EC1">
        <w:t>трав</w:t>
      </w:r>
      <w:r w:rsidR="000162C2">
        <w:t>ня</w:t>
      </w:r>
      <w:r w:rsidR="000162C2" w:rsidRPr="00531EC1">
        <w:t xml:space="preserve"> </w:t>
      </w:r>
      <w:r w:rsidRPr="00531EC1">
        <w:t>2021 року всі укладені договори, де продавцем виступає ТОВ «ЮТІЛІТІ ТРЕЙДІНГ»</w:t>
      </w:r>
      <w:r w:rsidR="003967F3">
        <w:t>,</w:t>
      </w:r>
      <w:r w:rsidRPr="00531EC1">
        <w:t xml:space="preserve"> містять зазначене положення, що свідчить про однакове ставлення продавця до всіх контрагентів за договорами купівлі-продажу електричної енергії.</w:t>
      </w:r>
    </w:p>
    <w:p w14:paraId="241315FD" w14:textId="24B466C6" w:rsidR="000C1055" w:rsidRPr="00441AEB" w:rsidRDefault="00BD015B" w:rsidP="00441AEB">
      <w:pPr>
        <w:pStyle w:val="aa"/>
        <w:numPr>
          <w:ilvl w:val="0"/>
          <w:numId w:val="4"/>
        </w:numPr>
        <w:tabs>
          <w:tab w:val="left" w:pos="567"/>
        </w:tabs>
        <w:spacing w:before="120" w:after="120"/>
        <w:rPr>
          <w:rFonts w:ascii="Times New Roman" w:hAnsi="Times New Roman"/>
          <w:b/>
          <w:sz w:val="24"/>
          <w:lang w:eastAsia="ru-RU"/>
        </w:rPr>
      </w:pPr>
      <w:r w:rsidRPr="00BD015B">
        <w:rPr>
          <w:rFonts w:ascii="Times New Roman" w:hAnsi="Times New Roman"/>
          <w:b/>
          <w:sz w:val="24"/>
          <w:lang w:eastAsia="ru-RU"/>
        </w:rPr>
        <w:t xml:space="preserve">МОЖЛИВІ НЕГАТИВНІ НАСЛІДКИ </w:t>
      </w:r>
      <w:r w:rsidR="009F67DB" w:rsidRPr="00BD015B">
        <w:rPr>
          <w:rFonts w:ascii="Times New Roman" w:hAnsi="Times New Roman"/>
          <w:b/>
          <w:sz w:val="24"/>
          <w:lang w:eastAsia="ru-RU"/>
        </w:rPr>
        <w:t xml:space="preserve"> </w:t>
      </w:r>
    </w:p>
    <w:p w14:paraId="2C00B223" w14:textId="3B19B2EC" w:rsidR="00A61E4D" w:rsidRPr="00441AEB" w:rsidRDefault="00A61E4D" w:rsidP="000C1055">
      <w:pPr>
        <w:numPr>
          <w:ilvl w:val="0"/>
          <w:numId w:val="1"/>
        </w:numPr>
        <w:tabs>
          <w:tab w:val="num" w:pos="709"/>
        </w:tabs>
        <w:spacing w:before="120" w:after="120"/>
        <w:ind w:left="567" w:hanging="567"/>
        <w:jc w:val="both"/>
        <w:rPr>
          <w:b/>
          <w:lang w:eastAsia="ru-RU"/>
        </w:rPr>
      </w:pPr>
      <w:r>
        <w:rPr>
          <w:lang w:eastAsia="ru-RU"/>
        </w:rPr>
        <w:t>За своєю суттю ринок електричної енергії загалом та РДД</w:t>
      </w:r>
      <w:r w:rsidR="00FF1041">
        <w:rPr>
          <w:lang w:eastAsia="ru-RU"/>
        </w:rPr>
        <w:t>,</w:t>
      </w:r>
      <w:r>
        <w:rPr>
          <w:lang w:eastAsia="ru-RU"/>
        </w:rPr>
        <w:t xml:space="preserve"> зокрема</w:t>
      </w:r>
      <w:r w:rsidR="00FF1041">
        <w:rPr>
          <w:lang w:eastAsia="ru-RU"/>
        </w:rPr>
        <w:t>,</w:t>
      </w:r>
      <w:r>
        <w:rPr>
          <w:lang w:eastAsia="ru-RU"/>
        </w:rPr>
        <w:t xml:space="preserve"> є динамічними, а тому частка учасників ринку постійно змінюється. </w:t>
      </w:r>
    </w:p>
    <w:p w14:paraId="6FE5B230" w14:textId="2CB3123B" w:rsidR="00441AEB" w:rsidRPr="00A61E4D" w:rsidRDefault="00441AEB" w:rsidP="000C1055">
      <w:pPr>
        <w:numPr>
          <w:ilvl w:val="0"/>
          <w:numId w:val="1"/>
        </w:numPr>
        <w:tabs>
          <w:tab w:val="num" w:pos="709"/>
        </w:tabs>
        <w:spacing w:before="120" w:after="120"/>
        <w:ind w:left="567" w:hanging="567"/>
        <w:jc w:val="both"/>
        <w:rPr>
          <w:b/>
          <w:lang w:eastAsia="ru-RU"/>
        </w:rPr>
      </w:pPr>
      <w:r>
        <w:rPr>
          <w:lang w:eastAsia="ru-RU"/>
        </w:rPr>
        <w:t>За результатами розгляду Клопотання встановлено, що частка Товариства на РДД у досліджуваних часових межах є незначною.</w:t>
      </w:r>
    </w:p>
    <w:p w14:paraId="6DE2F54E" w14:textId="00987804" w:rsidR="00081BEC" w:rsidRDefault="00441AEB" w:rsidP="00081BEC">
      <w:pPr>
        <w:numPr>
          <w:ilvl w:val="0"/>
          <w:numId w:val="1"/>
        </w:numPr>
        <w:tabs>
          <w:tab w:val="num" w:pos="709"/>
        </w:tabs>
        <w:spacing w:before="120" w:after="120"/>
        <w:ind w:left="567" w:hanging="567"/>
        <w:jc w:val="both"/>
        <w:rPr>
          <w:b/>
          <w:lang w:eastAsia="ru-RU"/>
        </w:rPr>
      </w:pPr>
      <w:r>
        <w:rPr>
          <w:lang w:eastAsia="ru-RU"/>
        </w:rPr>
        <w:t>Проте, у</w:t>
      </w:r>
      <w:r w:rsidR="00A61E4D">
        <w:rPr>
          <w:lang w:eastAsia="ru-RU"/>
        </w:rPr>
        <w:t xml:space="preserve"> разі збільшення частки учасника ринку та набуття ним монопольного (домінуючого) становища на ринку </w:t>
      </w:r>
      <w:r w:rsidR="004F5B96">
        <w:rPr>
          <w:lang w:eastAsia="ru-RU"/>
        </w:rPr>
        <w:t xml:space="preserve">в </w:t>
      </w:r>
      <w:r w:rsidR="00A61E4D">
        <w:rPr>
          <w:lang w:eastAsia="ru-RU"/>
        </w:rPr>
        <w:t xml:space="preserve">певних часових межах, такі дії </w:t>
      </w:r>
      <w:r w:rsidR="00E00483">
        <w:rPr>
          <w:lang w:val="ru-RU" w:eastAsia="ru-RU"/>
        </w:rPr>
        <w:t>можуть бути</w:t>
      </w:r>
      <w:r w:rsidR="00A61E4D">
        <w:rPr>
          <w:lang w:eastAsia="ru-RU"/>
        </w:rPr>
        <w:t xml:space="preserve"> кваліфіковані за статтею 13 Закону України «Про захист економічної конкуренції».</w:t>
      </w:r>
    </w:p>
    <w:p w14:paraId="5623B932" w14:textId="009C8DFA" w:rsidR="00441AEB" w:rsidRPr="004A5779" w:rsidRDefault="00081BEC" w:rsidP="004A5779">
      <w:pPr>
        <w:numPr>
          <w:ilvl w:val="0"/>
          <w:numId w:val="1"/>
        </w:numPr>
        <w:tabs>
          <w:tab w:val="clear" w:pos="360"/>
          <w:tab w:val="num" w:pos="567"/>
        </w:tabs>
        <w:spacing w:before="120" w:after="120"/>
        <w:ind w:left="567" w:hanging="567"/>
        <w:jc w:val="both"/>
        <w:rPr>
          <w:color w:val="000000" w:themeColor="text1"/>
        </w:rPr>
      </w:pPr>
      <w:r w:rsidRPr="00081BEC">
        <w:rPr>
          <w:lang w:eastAsia="ru-RU"/>
        </w:rPr>
        <w:t>Зважаючи на незначну частку Товариства, його дії не можуть бути кваліфіковані як порушення</w:t>
      </w:r>
      <w:r>
        <w:rPr>
          <w:lang w:eastAsia="ru-RU"/>
        </w:rPr>
        <w:t xml:space="preserve"> </w:t>
      </w:r>
      <w:r w:rsidRPr="00081BEC">
        <w:rPr>
          <w:lang w:eastAsia="ru-RU"/>
        </w:rPr>
        <w:t>пункту 7 частини першої статті 13</w:t>
      </w:r>
      <w:r>
        <w:rPr>
          <w:lang w:eastAsia="ru-RU"/>
        </w:rPr>
        <w:t xml:space="preserve">, </w:t>
      </w:r>
      <w:r w:rsidRPr="00081BEC">
        <w:rPr>
          <w:lang w:eastAsia="ru-RU"/>
        </w:rPr>
        <w:t xml:space="preserve">статті 20 </w:t>
      </w:r>
      <w:r w:rsidRPr="00081BEC">
        <w:t>Закону України «Про захист економічної конкуренції»</w:t>
      </w:r>
      <w:r>
        <w:t xml:space="preserve">. Разом </w:t>
      </w:r>
      <w:r w:rsidR="004574B4">
        <w:t>і</w:t>
      </w:r>
      <w:r>
        <w:t xml:space="preserve">з тим </w:t>
      </w:r>
      <w:r w:rsidR="00226668">
        <w:rPr>
          <w:lang w:val="ru-RU"/>
        </w:rPr>
        <w:t>так</w:t>
      </w:r>
      <w:r w:rsidR="00226668">
        <w:t xml:space="preserve">і </w:t>
      </w:r>
      <w:r w:rsidR="004574B4">
        <w:t xml:space="preserve">обмежувальні </w:t>
      </w:r>
      <w:r w:rsidR="00226668">
        <w:t xml:space="preserve">положення </w:t>
      </w:r>
      <w:r w:rsidR="004A5779">
        <w:t>м</w:t>
      </w:r>
      <w:r w:rsidR="00704052">
        <w:t>ожуть мати</w:t>
      </w:r>
      <w:r w:rsidR="004A5779">
        <w:t xml:space="preserve"> негативний вплив на конкуренцію на ринку РДД, оскіл</w:t>
      </w:r>
      <w:r w:rsidR="00F155DF">
        <w:t>ь</w:t>
      </w:r>
      <w:r w:rsidR="004A5779">
        <w:t>ки учасники зазначеного сегменту ринку можуть бути конкурентами на інших сегментах ринку, а відтак зазнавати обмежень,</w:t>
      </w:r>
      <w:r w:rsidR="004A5779">
        <w:rPr>
          <w:color w:val="000000" w:themeColor="text1"/>
        </w:rPr>
        <w:t xml:space="preserve"> не </w:t>
      </w:r>
      <w:r w:rsidR="004574B4">
        <w:rPr>
          <w:color w:val="000000" w:themeColor="text1"/>
        </w:rPr>
        <w:t xml:space="preserve">передбачених </w:t>
      </w:r>
      <w:r w:rsidR="004A5779">
        <w:rPr>
          <w:color w:val="000000" w:themeColor="text1"/>
        </w:rPr>
        <w:t>чинним законодавством.</w:t>
      </w:r>
    </w:p>
    <w:p w14:paraId="00892BC4" w14:textId="14EB9004" w:rsidR="000C1055" w:rsidRPr="00AA1F03" w:rsidRDefault="000C1055" w:rsidP="000C1055">
      <w:pPr>
        <w:numPr>
          <w:ilvl w:val="0"/>
          <w:numId w:val="1"/>
        </w:numPr>
        <w:tabs>
          <w:tab w:val="num" w:pos="709"/>
        </w:tabs>
        <w:spacing w:before="120" w:after="120"/>
        <w:ind w:left="567" w:hanging="567"/>
        <w:jc w:val="both"/>
        <w:rPr>
          <w:b/>
          <w:lang w:eastAsia="ru-RU"/>
        </w:rPr>
      </w:pPr>
      <w:r w:rsidRPr="00AA1F03">
        <w:rPr>
          <w:lang w:eastAsia="ru-RU"/>
        </w:rPr>
        <w:lastRenderedPageBreak/>
        <w:t>Відповідно до частини другої стат</w:t>
      </w:r>
      <w:r>
        <w:rPr>
          <w:lang w:eastAsia="ru-RU"/>
        </w:rPr>
        <w:t>т</w:t>
      </w:r>
      <w:r w:rsidRPr="00AA1F03">
        <w:rPr>
          <w:lang w:eastAsia="ru-RU"/>
        </w:rPr>
        <w:t>і 4 Закону України «Про захист економічної конкуренції»</w:t>
      </w:r>
      <w:r>
        <w:rPr>
          <w:lang w:eastAsia="ru-RU"/>
        </w:rPr>
        <w:t xml:space="preserve"> </w:t>
      </w:r>
      <w:r w:rsidRPr="00AA1F03">
        <w:rPr>
          <w:lang w:eastAsia="ru-RU"/>
        </w:rPr>
        <w:t>суб’єкти господарювання, органи влади, органи місцевого самоврядування, а також органи адміністративно-господарського управління та контролю зобов’язані сприяти розвитку конкуренції та не вчиняти будь-яких неправомірних дій, які можуть мати негативний вплив на конкуренцію.</w:t>
      </w:r>
    </w:p>
    <w:p w14:paraId="29FC7C86" w14:textId="232C3D74" w:rsidR="00503C81" w:rsidRPr="00503C81" w:rsidRDefault="000C1055" w:rsidP="00503C81">
      <w:pPr>
        <w:pStyle w:val="-11"/>
        <w:widowControl w:val="0"/>
        <w:numPr>
          <w:ilvl w:val="0"/>
          <w:numId w:val="1"/>
        </w:numPr>
        <w:tabs>
          <w:tab w:val="num" w:pos="709"/>
        </w:tabs>
        <w:autoSpaceDE w:val="0"/>
        <w:autoSpaceDN w:val="0"/>
        <w:adjustRightInd w:val="0"/>
        <w:spacing w:before="120" w:after="120"/>
        <w:ind w:left="567" w:hanging="567"/>
        <w:contextualSpacing w:val="0"/>
        <w:jc w:val="both"/>
        <w:rPr>
          <w:rFonts w:ascii="Times New Roman" w:hAnsi="Times New Roman"/>
          <w:b/>
          <w:bCs/>
          <w:lang w:val="uk-UA"/>
        </w:rPr>
      </w:pPr>
      <w:r w:rsidRPr="00810464">
        <w:rPr>
          <w:rFonts w:ascii="Times New Roman" w:hAnsi="Times New Roman"/>
          <w:color w:val="000000"/>
          <w:shd w:val="clear" w:color="auto" w:fill="FFFFFF"/>
          <w:lang w:val="uk-UA" w:eastAsia="ru-RU"/>
        </w:rPr>
        <w:t xml:space="preserve">Частиною четвертою статті 4 </w:t>
      </w:r>
      <w:r w:rsidRPr="00B434E6">
        <w:rPr>
          <w:rFonts w:ascii="Times New Roman" w:hAnsi="Times New Roman"/>
          <w:bCs/>
          <w:lang w:val="uk-UA"/>
        </w:rPr>
        <w:t>Закону</w:t>
      </w:r>
      <w:r>
        <w:rPr>
          <w:rFonts w:ascii="Times New Roman" w:hAnsi="Times New Roman"/>
          <w:bCs/>
          <w:lang w:val="uk-UA"/>
        </w:rPr>
        <w:t xml:space="preserve"> України </w:t>
      </w:r>
      <w:r w:rsidRPr="00B434E6">
        <w:rPr>
          <w:rFonts w:ascii="Times New Roman" w:hAnsi="Times New Roman"/>
          <w:bCs/>
          <w:lang w:val="uk-UA"/>
        </w:rPr>
        <w:t>«Про захист економічної конкуренції»</w:t>
      </w:r>
      <w:r w:rsidRPr="00810464">
        <w:rPr>
          <w:rFonts w:ascii="Times New Roman" w:hAnsi="Times New Roman"/>
          <w:color w:val="000000"/>
          <w:shd w:val="clear" w:color="auto" w:fill="FFFFFF"/>
          <w:lang w:val="uk-UA" w:eastAsia="ru-RU"/>
        </w:rPr>
        <w:t xml:space="preserve"> передбачено, що державний контроль за додержанням законодавства про захист економічної конкуренції, захист інтересів суб’єктів господарювання та споживачів від його порушень здійснюють органи Антимонопольного комітету України.</w:t>
      </w:r>
    </w:p>
    <w:p w14:paraId="7E732789" w14:textId="6BC1A81F" w:rsidR="000C1055" w:rsidRDefault="000C1055" w:rsidP="000C1055">
      <w:pPr>
        <w:pStyle w:val="-11"/>
        <w:widowControl w:val="0"/>
        <w:numPr>
          <w:ilvl w:val="0"/>
          <w:numId w:val="1"/>
        </w:numPr>
        <w:tabs>
          <w:tab w:val="num" w:pos="709"/>
        </w:tabs>
        <w:autoSpaceDE w:val="0"/>
        <w:autoSpaceDN w:val="0"/>
        <w:adjustRightInd w:val="0"/>
        <w:spacing w:before="120" w:after="120"/>
        <w:ind w:left="567" w:hanging="567"/>
        <w:contextualSpacing w:val="0"/>
        <w:jc w:val="both"/>
        <w:rPr>
          <w:rFonts w:ascii="Times New Roman" w:hAnsi="Times New Roman"/>
          <w:bCs/>
          <w:lang w:val="uk-UA"/>
        </w:rPr>
      </w:pPr>
      <w:r w:rsidRPr="00B434E6">
        <w:rPr>
          <w:rFonts w:ascii="Times New Roman" w:hAnsi="Times New Roman"/>
          <w:bCs/>
          <w:lang w:val="uk-UA"/>
        </w:rPr>
        <w:t xml:space="preserve">Відповідно до </w:t>
      </w:r>
      <w:r w:rsidR="00BB613B" w:rsidRPr="00BB613B">
        <w:rPr>
          <w:rFonts w:ascii="Times New Roman" w:hAnsi="Times New Roman"/>
          <w:bCs/>
          <w:lang w:val="uk-UA"/>
        </w:rPr>
        <w:t xml:space="preserve">пункту 5 частини </w:t>
      </w:r>
      <w:r w:rsidR="00E12652">
        <w:rPr>
          <w:rFonts w:ascii="Times New Roman" w:hAnsi="Times New Roman"/>
          <w:bCs/>
          <w:lang w:val="uk-UA"/>
        </w:rPr>
        <w:t>третьої</w:t>
      </w:r>
      <w:r w:rsidR="00BB613B" w:rsidRPr="00BB613B">
        <w:rPr>
          <w:rFonts w:ascii="Times New Roman" w:hAnsi="Times New Roman"/>
          <w:bCs/>
          <w:lang w:val="uk-UA"/>
        </w:rPr>
        <w:t xml:space="preserve"> статті 7 Закону України «Про Антимонопольний комітет України»</w:t>
      </w:r>
      <w:r w:rsidRPr="00B434E6">
        <w:rPr>
          <w:rFonts w:ascii="Times New Roman" w:hAnsi="Times New Roman"/>
          <w:bCs/>
          <w:lang w:val="uk-UA"/>
        </w:rPr>
        <w:t>, </w:t>
      </w:r>
      <w:bookmarkStart w:id="4" w:name="n413"/>
      <w:bookmarkEnd w:id="4"/>
      <w:r w:rsidRPr="00B434E6">
        <w:rPr>
          <w:rFonts w:ascii="Times New Roman" w:hAnsi="Times New Roman"/>
          <w:bCs/>
          <w:lang w:val="uk-UA"/>
        </w:rPr>
        <w:t>органи Антимонопольного комітету України мають право надавати</w:t>
      </w:r>
      <w:r w:rsidR="00BB613B">
        <w:rPr>
          <w:rFonts w:ascii="Times New Roman" w:hAnsi="Times New Roman"/>
          <w:bCs/>
          <w:lang w:val="uk-UA"/>
        </w:rPr>
        <w:t xml:space="preserve"> </w:t>
      </w:r>
      <w:r w:rsidR="00BB613B" w:rsidRPr="00BB613B">
        <w:rPr>
          <w:rFonts w:ascii="Times New Roman" w:hAnsi="Times New Roman"/>
          <w:bCs/>
          <w:lang w:val="uk-UA"/>
        </w:rPr>
        <w:t>обов'язкові для розгляду рекомендації та вносити до органів державної влади, органів місцевого самоврядування, установ, організацій, суб'єктів господарювання, об'єднань пропозиції щодо здійснення заходів, спрямованих на обмеження монополізму, розвиток підприємництва і конкуренції, запобігання порушенням законодавства про захист економічної конкуренції, а також щодо припинення дій або бездіяльності, які можуть мати негативний вплив на конкуренцію</w:t>
      </w:r>
      <w:r w:rsidR="00BB613B">
        <w:rPr>
          <w:rFonts w:ascii="Times New Roman" w:hAnsi="Times New Roman"/>
          <w:bCs/>
          <w:lang w:val="uk-UA"/>
        </w:rPr>
        <w:t xml:space="preserve">. </w:t>
      </w:r>
      <w:r w:rsidRPr="00B434E6">
        <w:rPr>
          <w:rFonts w:ascii="Times New Roman" w:hAnsi="Times New Roman"/>
          <w:bCs/>
          <w:lang w:val="uk-UA"/>
        </w:rPr>
        <w:t>Рекомендації органів Антимонопольного комітету України підлягають обов’язковому розгляду органами чи особами, яким вони надані.</w:t>
      </w:r>
    </w:p>
    <w:p w14:paraId="04D343D3" w14:textId="01A3F9D6" w:rsidR="00FB5ABA" w:rsidRPr="00503C81" w:rsidRDefault="004574B4" w:rsidP="00503C81">
      <w:pPr>
        <w:pStyle w:val="aa"/>
        <w:overflowPunct w:val="0"/>
        <w:autoSpaceDE w:val="0"/>
        <w:autoSpaceDN w:val="0"/>
        <w:adjustRightInd w:val="0"/>
        <w:spacing w:before="120" w:after="120"/>
        <w:ind w:left="0"/>
        <w:contextualSpacing w:val="0"/>
        <w:textAlignment w:val="baseline"/>
        <w:rPr>
          <w:rFonts w:ascii="Times New Roman" w:hAnsi="Times New Roman"/>
          <w:bCs/>
          <w:sz w:val="24"/>
          <w:szCs w:val="24"/>
          <w:lang w:val="uk-UA"/>
        </w:rPr>
      </w:pPr>
      <w:r>
        <w:rPr>
          <w:rFonts w:ascii="Times New Roman" w:hAnsi="Times New Roman"/>
          <w:bCs/>
          <w:sz w:val="24"/>
          <w:szCs w:val="24"/>
          <w:lang w:val="uk-UA"/>
        </w:rPr>
        <w:t xml:space="preserve">         </w:t>
      </w:r>
      <w:r w:rsidR="000C1055" w:rsidRPr="000C1055">
        <w:rPr>
          <w:rFonts w:ascii="Times New Roman" w:hAnsi="Times New Roman"/>
          <w:bCs/>
          <w:sz w:val="24"/>
          <w:szCs w:val="24"/>
          <w:lang w:val="uk-UA"/>
        </w:rPr>
        <w:t xml:space="preserve">Враховуючи викладене, з метою </w:t>
      </w:r>
      <w:r w:rsidR="00704052" w:rsidRPr="00704052">
        <w:rPr>
          <w:rFonts w:ascii="Times New Roman" w:hAnsi="Times New Roman"/>
          <w:bCs/>
          <w:sz w:val="24"/>
          <w:szCs w:val="24"/>
          <w:lang w:val="uk-UA"/>
        </w:rPr>
        <w:t>запобігання</w:t>
      </w:r>
      <w:r w:rsidR="00704052">
        <w:rPr>
          <w:rFonts w:ascii="Times New Roman" w:hAnsi="Times New Roman"/>
          <w:bCs/>
          <w:sz w:val="24"/>
          <w:szCs w:val="24"/>
          <w:lang w:val="uk-UA"/>
        </w:rPr>
        <w:t xml:space="preserve"> </w:t>
      </w:r>
      <w:r w:rsidR="00F40632" w:rsidRPr="005E050F">
        <w:rPr>
          <w:rFonts w:ascii="Times New Roman" w:hAnsi="Times New Roman"/>
          <w:bCs/>
          <w:sz w:val="24"/>
          <w:szCs w:val="24"/>
          <w:lang w:val="uk-UA"/>
        </w:rPr>
        <w:t>порушенням</w:t>
      </w:r>
      <w:r w:rsidR="00F40632" w:rsidRPr="00704052">
        <w:rPr>
          <w:rFonts w:ascii="Times New Roman" w:hAnsi="Times New Roman"/>
          <w:bCs/>
          <w:sz w:val="24"/>
          <w:szCs w:val="24"/>
          <w:lang w:val="uk-UA"/>
        </w:rPr>
        <w:t xml:space="preserve"> </w:t>
      </w:r>
      <w:r w:rsidR="00704052" w:rsidRPr="00704052">
        <w:rPr>
          <w:rFonts w:ascii="Times New Roman" w:hAnsi="Times New Roman"/>
          <w:bCs/>
          <w:sz w:val="24"/>
          <w:szCs w:val="24"/>
          <w:lang w:val="uk-UA"/>
        </w:rPr>
        <w:t>законодавства про захист економічної конкуренції, припинення дій,</w:t>
      </w:r>
      <w:r w:rsidR="00704052">
        <w:rPr>
          <w:rFonts w:ascii="Times New Roman" w:hAnsi="Times New Roman"/>
          <w:bCs/>
          <w:sz w:val="24"/>
          <w:szCs w:val="24"/>
          <w:lang w:val="uk-UA"/>
        </w:rPr>
        <w:t xml:space="preserve"> </w:t>
      </w:r>
      <w:r w:rsidR="00704052" w:rsidRPr="00704052">
        <w:rPr>
          <w:rFonts w:ascii="Times New Roman" w:hAnsi="Times New Roman"/>
          <w:bCs/>
          <w:sz w:val="24"/>
          <w:szCs w:val="24"/>
          <w:lang w:val="uk-UA"/>
        </w:rPr>
        <w:t>які можуть мати негативний вплив на конкуренцію</w:t>
      </w:r>
      <w:r w:rsidR="000C1055" w:rsidRPr="000C1055">
        <w:rPr>
          <w:rFonts w:ascii="Times New Roman" w:hAnsi="Times New Roman"/>
          <w:bCs/>
          <w:sz w:val="24"/>
          <w:szCs w:val="24"/>
          <w:lang w:val="uk-UA"/>
        </w:rPr>
        <w:t xml:space="preserve">, керуючись статтею </w:t>
      </w:r>
      <w:r w:rsidR="00A26DA9" w:rsidRPr="00A26DA9">
        <w:rPr>
          <w:rFonts w:ascii="Times New Roman" w:hAnsi="Times New Roman"/>
          <w:bCs/>
          <w:sz w:val="24"/>
          <w:szCs w:val="24"/>
        </w:rPr>
        <w:t xml:space="preserve">7 </w:t>
      </w:r>
      <w:r w:rsidR="000C1055" w:rsidRPr="000C1055">
        <w:rPr>
          <w:rFonts w:ascii="Times New Roman" w:hAnsi="Times New Roman"/>
          <w:bCs/>
          <w:sz w:val="24"/>
          <w:szCs w:val="24"/>
          <w:lang w:val="uk-UA"/>
        </w:rPr>
        <w:t xml:space="preserve">Закону України </w:t>
      </w:r>
      <w:r w:rsidR="00A26DA9" w:rsidRPr="00A26DA9">
        <w:rPr>
          <w:rFonts w:ascii="Times New Roman" w:hAnsi="Times New Roman"/>
          <w:bCs/>
          <w:sz w:val="24"/>
          <w:szCs w:val="24"/>
          <w:lang w:val="uk-UA"/>
        </w:rPr>
        <w:t>«Про Антимонопольний комітет України»</w:t>
      </w:r>
      <w:r w:rsidR="000C1055" w:rsidRPr="000C1055">
        <w:rPr>
          <w:rFonts w:ascii="Times New Roman" w:hAnsi="Times New Roman"/>
          <w:bCs/>
          <w:sz w:val="24"/>
          <w:szCs w:val="24"/>
          <w:lang w:val="uk-UA"/>
        </w:rPr>
        <w:t xml:space="preserve">, Антимонопольний комітет України надає </w:t>
      </w:r>
      <w:r w:rsidR="001126AB">
        <w:rPr>
          <w:rFonts w:ascii="Times New Roman" w:hAnsi="Times New Roman"/>
          <w:bCs/>
          <w:sz w:val="24"/>
          <w:szCs w:val="24"/>
          <w:lang w:val="uk-UA"/>
        </w:rPr>
        <w:t>т</w:t>
      </w:r>
      <w:r w:rsidR="001126AB" w:rsidRPr="000C1055">
        <w:rPr>
          <w:rFonts w:ascii="Times New Roman" w:hAnsi="Times New Roman"/>
          <w:bCs/>
          <w:sz w:val="24"/>
          <w:szCs w:val="24"/>
          <w:lang w:val="uk-UA"/>
        </w:rPr>
        <w:t xml:space="preserve">овариству </w:t>
      </w:r>
      <w:r w:rsidR="000C1055" w:rsidRPr="000C1055">
        <w:rPr>
          <w:rFonts w:ascii="Times New Roman" w:hAnsi="Times New Roman"/>
          <w:bCs/>
          <w:sz w:val="24"/>
          <w:szCs w:val="24"/>
          <w:lang w:val="uk-UA"/>
        </w:rPr>
        <w:t xml:space="preserve">з обмеженою відповідальністю «ЮТІЛІТІ ТРЕЙДІНГ» (ідентифікаційний код юридичної особи 43751784, </w:t>
      </w:r>
      <w:r w:rsidR="005D479E" w:rsidRPr="00FC148C">
        <w:rPr>
          <w:rFonts w:ascii="Times New Roman" w:hAnsi="Times New Roman"/>
          <w:sz w:val="24"/>
          <w:szCs w:val="24"/>
          <w:lang w:val="uk-UA"/>
        </w:rPr>
        <w:t>[</w:t>
      </w:r>
      <w:r w:rsidR="005D479E">
        <w:rPr>
          <w:rFonts w:ascii="Times New Roman" w:hAnsi="Times New Roman"/>
          <w:sz w:val="24"/>
          <w:szCs w:val="24"/>
          <w:lang w:val="uk-UA"/>
        </w:rPr>
        <w:t>к</w:t>
      </w:r>
      <w:r w:rsidR="005D479E" w:rsidRPr="00FC148C">
        <w:rPr>
          <w:rFonts w:ascii="Times New Roman" w:hAnsi="Times New Roman"/>
          <w:i/>
          <w:sz w:val="24"/>
          <w:szCs w:val="24"/>
          <w:lang w:val="uk-UA"/>
        </w:rPr>
        <w:t>онфіденційна інформація</w:t>
      </w:r>
      <w:r w:rsidR="005D479E" w:rsidRPr="00FC148C">
        <w:rPr>
          <w:rFonts w:ascii="Times New Roman" w:hAnsi="Times New Roman"/>
          <w:sz w:val="24"/>
          <w:szCs w:val="24"/>
          <w:lang w:val="uk-UA"/>
        </w:rPr>
        <w:t>]</w:t>
      </w:r>
      <w:r w:rsidR="005D479E">
        <w:rPr>
          <w:rFonts w:ascii="Times New Roman" w:hAnsi="Times New Roman"/>
          <w:sz w:val="24"/>
          <w:szCs w:val="24"/>
          <w:lang w:val="uk-UA"/>
        </w:rPr>
        <w:t xml:space="preserve"> ) </w:t>
      </w:r>
      <w:r w:rsidR="000C1055" w:rsidRPr="000C1055">
        <w:rPr>
          <w:rFonts w:ascii="Times New Roman" w:hAnsi="Times New Roman"/>
          <w:bCs/>
          <w:sz w:val="24"/>
          <w:szCs w:val="24"/>
          <w:lang w:val="uk-UA"/>
        </w:rPr>
        <w:t>такі обов’язкові для розгляду</w:t>
      </w:r>
      <w:r w:rsidR="000C1055">
        <w:rPr>
          <w:rFonts w:ascii="Times New Roman" w:hAnsi="Times New Roman"/>
          <w:bCs/>
          <w:sz w:val="24"/>
          <w:szCs w:val="24"/>
          <w:lang w:val="uk-UA"/>
        </w:rPr>
        <w:t>:</w:t>
      </w:r>
    </w:p>
    <w:p w14:paraId="53DCF07B" w14:textId="0D05392D" w:rsidR="000C1055" w:rsidRDefault="007424B5" w:rsidP="00503C81">
      <w:pPr>
        <w:spacing w:before="120"/>
        <w:ind w:firstLine="709"/>
        <w:rPr>
          <w:b/>
        </w:rPr>
      </w:pPr>
      <w:r>
        <w:rPr>
          <w:b/>
        </w:rPr>
        <w:t xml:space="preserve">                                                 </w:t>
      </w:r>
      <w:r w:rsidR="000C1055" w:rsidRPr="00AA1F03">
        <w:rPr>
          <w:b/>
        </w:rPr>
        <w:t>РЕКОМЕНДАЦІЇ:</w:t>
      </w:r>
    </w:p>
    <w:p w14:paraId="5E027B4B" w14:textId="77777777" w:rsidR="000C1055" w:rsidRDefault="000C1055" w:rsidP="000C1055">
      <w:pPr>
        <w:ind w:firstLine="567"/>
        <w:jc w:val="both"/>
      </w:pPr>
    </w:p>
    <w:p w14:paraId="72E76A09" w14:textId="49D9FB50" w:rsidR="000C1055" w:rsidRPr="005E050F" w:rsidRDefault="001126AB" w:rsidP="00503C81">
      <w:pPr>
        <w:tabs>
          <w:tab w:val="left" w:pos="7513"/>
        </w:tabs>
        <w:spacing w:before="120" w:after="120"/>
        <w:jc w:val="both"/>
      </w:pPr>
      <w:r>
        <w:t xml:space="preserve">         </w:t>
      </w:r>
      <w:r w:rsidR="000C1055" w:rsidRPr="00F40632">
        <w:t xml:space="preserve">Припинити  </w:t>
      </w:r>
      <w:r w:rsidR="002F3BE6" w:rsidRPr="005E050F">
        <w:t>дії</w:t>
      </w:r>
      <w:r w:rsidR="00595DAA" w:rsidRPr="005E050F">
        <w:t xml:space="preserve">, які можуть мати негативний  вплив на конкуренцію, у вигляді </w:t>
      </w:r>
      <w:r w:rsidR="007A329B" w:rsidRPr="005E050F">
        <w:t>включення до умов двосторонніх договорів купівлі-продажу еле</w:t>
      </w:r>
      <w:r w:rsidR="00F155DF" w:rsidRPr="005E050F">
        <w:t>к</w:t>
      </w:r>
      <w:r w:rsidR="007A329B" w:rsidRPr="005E050F">
        <w:t>тричної енергії  умови, що забороняє та/або обмежує реалізацію електричної енергії, купленої у продавця (трейдера</w:t>
      </w:r>
      <w:r w:rsidR="002251B4">
        <w:t> </w:t>
      </w:r>
      <w:r w:rsidR="007A329B" w:rsidRPr="00F40632">
        <w:t>/</w:t>
      </w:r>
      <w:r w:rsidR="002251B4">
        <w:t> </w:t>
      </w:r>
      <w:r w:rsidR="007A329B" w:rsidRPr="00F40632">
        <w:t>виробника) за двостороннім договором</w:t>
      </w:r>
      <w:r w:rsidR="00F155DF" w:rsidRPr="005E050F">
        <w:t xml:space="preserve">, </w:t>
      </w:r>
      <w:r w:rsidR="007A329B" w:rsidRPr="005E050F">
        <w:t>на ринку «на добу наперед»</w:t>
      </w:r>
      <w:r w:rsidR="00595DAA" w:rsidRPr="005E050F">
        <w:t xml:space="preserve"> </w:t>
      </w:r>
      <w:r w:rsidR="00E66E7A">
        <w:t>та</w:t>
      </w:r>
      <w:r w:rsidR="00E66E7A" w:rsidRPr="005E050F">
        <w:t xml:space="preserve"> </w:t>
      </w:r>
      <w:r w:rsidR="00595DAA" w:rsidRPr="005E050F">
        <w:t>на інших організованих сегментах ринку.</w:t>
      </w:r>
    </w:p>
    <w:p w14:paraId="32DBDDB9" w14:textId="4A8B0018" w:rsidR="000C1055" w:rsidRPr="005E050F" w:rsidRDefault="001126AB" w:rsidP="00503C81">
      <w:pPr>
        <w:tabs>
          <w:tab w:val="left" w:pos="7513"/>
        </w:tabs>
        <w:spacing w:before="120" w:after="120"/>
        <w:jc w:val="both"/>
      </w:pPr>
      <w:r>
        <w:t xml:space="preserve">        </w:t>
      </w:r>
      <w:r w:rsidR="00595DAA" w:rsidRPr="00F40632">
        <w:t xml:space="preserve">Не вчиняти </w:t>
      </w:r>
      <w:r w:rsidR="002251B4" w:rsidRPr="005E050F">
        <w:t>ді</w:t>
      </w:r>
      <w:r w:rsidR="002251B4">
        <w:t>й</w:t>
      </w:r>
      <w:r w:rsidR="00595DAA" w:rsidRPr="00F40632">
        <w:t xml:space="preserve">, що полягають у включенні </w:t>
      </w:r>
      <w:r w:rsidR="00595DAA" w:rsidRPr="005E050F">
        <w:t>до умов двосторонніх договорів купівлі-продажу еле</w:t>
      </w:r>
      <w:r w:rsidR="00DA0187" w:rsidRPr="005E050F">
        <w:t>к</w:t>
      </w:r>
      <w:r w:rsidR="00595DAA" w:rsidRPr="005E050F">
        <w:t>тричної енергії  умови, що забороняє та/або обмежує реалізацію електричної енергії, купленої у продавця (трейдера</w:t>
      </w:r>
      <w:r w:rsidR="002251B4">
        <w:t xml:space="preserve"> </w:t>
      </w:r>
      <w:r w:rsidR="00595DAA" w:rsidRPr="00F40632">
        <w:t>/</w:t>
      </w:r>
      <w:r w:rsidR="002251B4">
        <w:t xml:space="preserve"> </w:t>
      </w:r>
      <w:r w:rsidR="00595DAA" w:rsidRPr="00F40632">
        <w:t xml:space="preserve">виробника) за </w:t>
      </w:r>
      <w:r w:rsidR="00595DAA" w:rsidRPr="005E050F">
        <w:t>двостороннім договором на ринку «на добу наперед» і на інших організованих сегментах ринку, що можуть призвести до порушень законодавства про захист економічної конкуренції.</w:t>
      </w:r>
    </w:p>
    <w:p w14:paraId="03034FAE" w14:textId="085E3BC9" w:rsidR="00027608" w:rsidRDefault="000C1055" w:rsidP="00027608">
      <w:pPr>
        <w:tabs>
          <w:tab w:val="left" w:pos="7513"/>
        </w:tabs>
        <w:spacing w:before="120" w:after="120"/>
        <w:ind w:firstLine="567"/>
        <w:jc w:val="both"/>
      </w:pPr>
      <w:r w:rsidRPr="009F250A">
        <w:t>Відповідно до</w:t>
      </w:r>
      <w:r w:rsidR="00027608">
        <w:t xml:space="preserve"> пункту </w:t>
      </w:r>
      <w:r w:rsidR="00595DAA">
        <w:t>5</w:t>
      </w:r>
      <w:r w:rsidRPr="009F250A">
        <w:t xml:space="preserve"> частини </w:t>
      </w:r>
      <w:r w:rsidR="002251B4">
        <w:t>третьої</w:t>
      </w:r>
      <w:r w:rsidR="002251B4" w:rsidRPr="009F250A">
        <w:t xml:space="preserve"> </w:t>
      </w:r>
      <w:r w:rsidRPr="009F250A">
        <w:t xml:space="preserve">статті </w:t>
      </w:r>
      <w:r w:rsidR="00027608">
        <w:t>7</w:t>
      </w:r>
      <w:r w:rsidRPr="009F250A">
        <w:t xml:space="preserve"> Закону України </w:t>
      </w:r>
      <w:r w:rsidR="00027608" w:rsidRPr="00AA1F03">
        <w:t>«</w:t>
      </w:r>
      <w:r w:rsidR="00027608">
        <w:t>Про</w:t>
      </w:r>
      <w:r w:rsidR="00027608" w:rsidRPr="00131057">
        <w:t xml:space="preserve"> Антимонопольний ком</w:t>
      </w:r>
      <w:r w:rsidR="00027608">
        <w:t>ітет України</w:t>
      </w:r>
      <w:r w:rsidR="00027608" w:rsidRPr="00AA1F03">
        <w:t>»</w:t>
      </w:r>
      <w:r w:rsidR="00027608">
        <w:t xml:space="preserve"> </w:t>
      </w:r>
      <w:r w:rsidRPr="009F250A">
        <w:t>рекомендації органів Антимонопольного комітету України підлягають обов’язковому розгляду органам</w:t>
      </w:r>
      <w:r>
        <w:t>и чи особами, яким вони надані.</w:t>
      </w:r>
    </w:p>
    <w:p w14:paraId="79E1DCEF" w14:textId="6551825E" w:rsidR="000C1055" w:rsidRDefault="000C1055" w:rsidP="00027608">
      <w:pPr>
        <w:tabs>
          <w:tab w:val="left" w:pos="7513"/>
        </w:tabs>
        <w:spacing w:before="120" w:after="120"/>
        <w:ind w:firstLine="567"/>
        <w:jc w:val="both"/>
      </w:pPr>
      <w:r w:rsidRPr="009F250A">
        <w:t xml:space="preserve">Про результати розгляду рекомендацій повідомити Антимонопольний комітет України у </w:t>
      </w:r>
      <w:r>
        <w:t>30</w:t>
      </w:r>
      <w:r w:rsidRPr="009F250A">
        <w:t>-денний строк з дня їх отримання.</w:t>
      </w:r>
    </w:p>
    <w:p w14:paraId="4FEDAEBC" w14:textId="350CB2C9" w:rsidR="000C1055" w:rsidRDefault="000C1055" w:rsidP="00027608">
      <w:pPr>
        <w:tabs>
          <w:tab w:val="left" w:pos="7513"/>
        </w:tabs>
        <w:spacing w:before="120" w:after="120"/>
        <w:jc w:val="both"/>
      </w:pPr>
    </w:p>
    <w:p w14:paraId="43339FC9" w14:textId="2E85C8E6" w:rsidR="005039F9" w:rsidRDefault="005039F9" w:rsidP="00027608">
      <w:pPr>
        <w:tabs>
          <w:tab w:val="left" w:pos="7513"/>
        </w:tabs>
        <w:spacing w:before="120" w:after="120"/>
        <w:jc w:val="both"/>
      </w:pPr>
    </w:p>
    <w:p w14:paraId="04378691" w14:textId="77777777" w:rsidR="00042D47" w:rsidRDefault="00042D47" w:rsidP="00027608">
      <w:pPr>
        <w:tabs>
          <w:tab w:val="left" w:pos="7513"/>
        </w:tabs>
        <w:spacing w:before="120" w:after="120"/>
        <w:jc w:val="both"/>
      </w:pPr>
    </w:p>
    <w:p w14:paraId="5AEBB4CD" w14:textId="77777777" w:rsidR="005039F9" w:rsidRDefault="005039F9" w:rsidP="00027608">
      <w:pPr>
        <w:tabs>
          <w:tab w:val="left" w:pos="7513"/>
        </w:tabs>
        <w:spacing w:before="120" w:after="120"/>
        <w:jc w:val="both"/>
      </w:pPr>
    </w:p>
    <w:p w14:paraId="5B0A543C" w14:textId="03CC2D7F" w:rsidR="00AE3FF6" w:rsidRPr="00503C81" w:rsidRDefault="00AE3FF6" w:rsidP="00AE3FF6">
      <w:pPr>
        <w:rPr>
          <w:bCs/>
          <w:lang w:eastAsia="ru-RU"/>
        </w:rPr>
      </w:pPr>
      <w:bookmarkStart w:id="5" w:name="_Hlk117855252"/>
      <w:r w:rsidRPr="00503C81">
        <w:rPr>
          <w:bCs/>
          <w:lang w:eastAsia="ru-RU"/>
        </w:rPr>
        <w:t xml:space="preserve">Голова </w:t>
      </w:r>
      <w:r w:rsidR="002251B4" w:rsidRPr="00503C81">
        <w:rPr>
          <w:bCs/>
          <w:lang w:eastAsia="ru-RU"/>
        </w:rPr>
        <w:t xml:space="preserve">  Комітету          </w:t>
      </w:r>
      <w:r w:rsidR="002251B4">
        <w:rPr>
          <w:bCs/>
          <w:lang w:eastAsia="ru-RU"/>
        </w:rPr>
        <w:t xml:space="preserve">                                                      </w:t>
      </w:r>
      <w:r w:rsidR="002251B4" w:rsidRPr="00503C81">
        <w:rPr>
          <w:bCs/>
          <w:lang w:eastAsia="ru-RU"/>
        </w:rPr>
        <w:t xml:space="preserve">  </w:t>
      </w:r>
      <w:r w:rsidR="007A7CFF">
        <w:rPr>
          <w:bCs/>
          <w:lang w:eastAsia="ru-RU"/>
        </w:rPr>
        <w:t xml:space="preserve">   </w:t>
      </w:r>
      <w:r w:rsidR="002251B4" w:rsidRPr="00503C81">
        <w:rPr>
          <w:bCs/>
          <w:lang w:eastAsia="ru-RU"/>
        </w:rPr>
        <w:t>Ольга ПІЩАНСЬКА</w:t>
      </w:r>
      <w:r w:rsidRPr="002925F3">
        <w:rPr>
          <w:b/>
          <w:bCs/>
          <w:lang w:eastAsia="ru-RU"/>
        </w:rPr>
        <w:t xml:space="preserve">                                                                                          </w:t>
      </w:r>
    </w:p>
    <w:bookmarkEnd w:id="5"/>
    <w:p w14:paraId="1C8AEC21" w14:textId="3B0D207C" w:rsidR="0080203A" w:rsidRDefault="0080203A" w:rsidP="0080203A">
      <w:pPr>
        <w:spacing w:after="160" w:line="259" w:lineRule="auto"/>
        <w:sectPr w:rsidR="0080203A" w:rsidSect="0072724A">
          <w:headerReference w:type="default" r:id="rId15"/>
          <w:pgSz w:w="11906" w:h="16838"/>
          <w:pgMar w:top="1134" w:right="567" w:bottom="1134" w:left="1701" w:header="567" w:footer="170" w:gutter="0"/>
          <w:cols w:space="708"/>
          <w:titlePg/>
          <w:docGrid w:linePitch="360"/>
        </w:sectPr>
      </w:pPr>
    </w:p>
    <w:p w14:paraId="5B8498BF" w14:textId="77777777" w:rsidR="0080203A" w:rsidRPr="000C1055" w:rsidRDefault="0080203A" w:rsidP="000C1055">
      <w:pPr>
        <w:tabs>
          <w:tab w:val="left" w:pos="567"/>
        </w:tabs>
        <w:spacing w:before="120" w:after="120"/>
        <w:jc w:val="both"/>
      </w:pPr>
    </w:p>
    <w:sectPr w:rsidR="0080203A" w:rsidRPr="000C1055" w:rsidSect="0089183C">
      <w:pgSz w:w="11906" w:h="16838"/>
      <w:pgMar w:top="1134" w:right="850" w:bottom="1134" w:left="1701" w:header="567"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9C4F15" w14:textId="77777777" w:rsidR="00464550" w:rsidRDefault="00464550" w:rsidP="00FB073B">
      <w:r>
        <w:separator/>
      </w:r>
    </w:p>
  </w:endnote>
  <w:endnote w:type="continuationSeparator" w:id="0">
    <w:p w14:paraId="5C342790" w14:textId="77777777" w:rsidR="00464550" w:rsidRDefault="00464550" w:rsidP="00FB0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2891F0" w14:textId="77777777" w:rsidR="00464550" w:rsidRDefault="00464550" w:rsidP="00FB073B">
      <w:r>
        <w:separator/>
      </w:r>
    </w:p>
  </w:footnote>
  <w:footnote w:type="continuationSeparator" w:id="0">
    <w:p w14:paraId="188DB7FD" w14:textId="77777777" w:rsidR="00464550" w:rsidRDefault="00464550" w:rsidP="00FB073B">
      <w:r>
        <w:continuationSeparator/>
      </w:r>
    </w:p>
  </w:footnote>
  <w:footnote w:id="1">
    <w:p w14:paraId="39DA07AD" w14:textId="2A53D82B" w:rsidR="00F155DF" w:rsidRPr="0072724A" w:rsidRDefault="00F155DF" w:rsidP="008E2477">
      <w:pPr>
        <w:pStyle w:val="af"/>
        <w:rPr>
          <w:sz w:val="18"/>
          <w:szCs w:val="18"/>
        </w:rPr>
      </w:pPr>
      <w:r w:rsidRPr="0072724A">
        <w:rPr>
          <w:rStyle w:val="af1"/>
          <w:sz w:val="18"/>
          <w:szCs w:val="18"/>
        </w:rPr>
        <w:footnoteRef/>
      </w:r>
      <w:r w:rsidRPr="0072724A">
        <w:rPr>
          <w:sz w:val="18"/>
          <w:szCs w:val="18"/>
        </w:rPr>
        <w:t xml:space="preserve"> </w:t>
      </w:r>
      <w:r w:rsidRPr="0072724A">
        <w:rPr>
          <w:color w:val="000000" w:themeColor="text1"/>
          <w:sz w:val="18"/>
          <w:szCs w:val="18"/>
        </w:rPr>
        <w:t>Редакція, чинна протягом періоду</w:t>
      </w:r>
      <w:r w:rsidR="00D23F14" w:rsidRPr="0072724A">
        <w:rPr>
          <w:color w:val="000000" w:themeColor="text1"/>
          <w:sz w:val="18"/>
          <w:szCs w:val="18"/>
        </w:rPr>
        <w:t>, що досліджується</w:t>
      </w:r>
      <w:r w:rsidRPr="0072724A">
        <w:rPr>
          <w:color w:val="000000" w:themeColor="text1"/>
          <w:sz w:val="18"/>
          <w:szCs w:val="18"/>
        </w:rPr>
        <w:t xml:space="preserve">. </w:t>
      </w:r>
    </w:p>
  </w:footnote>
  <w:footnote w:id="2">
    <w:p w14:paraId="7699A350" w14:textId="5829A900" w:rsidR="00704052" w:rsidRPr="0072724A" w:rsidRDefault="00704052">
      <w:pPr>
        <w:pStyle w:val="af"/>
        <w:rPr>
          <w:sz w:val="18"/>
          <w:szCs w:val="18"/>
        </w:rPr>
      </w:pPr>
      <w:r w:rsidRPr="0072724A">
        <w:rPr>
          <w:rStyle w:val="af1"/>
          <w:sz w:val="18"/>
          <w:szCs w:val="18"/>
        </w:rPr>
        <w:footnoteRef/>
      </w:r>
      <w:r w:rsidRPr="0072724A">
        <w:rPr>
          <w:sz w:val="18"/>
          <w:szCs w:val="18"/>
        </w:rPr>
        <w:t xml:space="preserve"> Лист ТОВ «НОВА-ЕНЕРГЕТИЧНА-КОМПАНІЯ» від 18.10.2022 № 18-10-2022-Е-1 (вх. № 8-09/8065</w:t>
      </w:r>
      <w:r w:rsidR="00616A37" w:rsidRPr="0072724A">
        <w:rPr>
          <w:sz w:val="18"/>
          <w:szCs w:val="18"/>
        </w:rPr>
        <w:t xml:space="preserve"> </w:t>
      </w:r>
      <w:r w:rsidRPr="0072724A">
        <w:rPr>
          <w:sz w:val="18"/>
          <w:szCs w:val="18"/>
        </w:rPr>
        <w:t>від 19.10.2022).</w:t>
      </w:r>
    </w:p>
  </w:footnote>
  <w:footnote w:id="3">
    <w:p w14:paraId="4E30CAC0" w14:textId="57772C99" w:rsidR="00616A37" w:rsidRPr="0072724A" w:rsidRDefault="00616A37">
      <w:pPr>
        <w:pStyle w:val="af"/>
        <w:rPr>
          <w:sz w:val="18"/>
          <w:szCs w:val="18"/>
        </w:rPr>
      </w:pPr>
      <w:r w:rsidRPr="0072724A">
        <w:rPr>
          <w:rStyle w:val="af1"/>
          <w:sz w:val="18"/>
          <w:szCs w:val="18"/>
        </w:rPr>
        <w:footnoteRef/>
      </w:r>
      <w:r w:rsidRPr="0072724A">
        <w:rPr>
          <w:sz w:val="18"/>
          <w:szCs w:val="18"/>
        </w:rPr>
        <w:t xml:space="preserve"> Лист ТОВ «МАГІСТРАЛЬ ЕНЕРГО» від 19.10.2022 № 162 (вх. № 8-09/661-кі від 25.10.2022).</w:t>
      </w:r>
    </w:p>
  </w:footnote>
  <w:footnote w:id="4">
    <w:p w14:paraId="2A1A1DEF" w14:textId="0F96B580" w:rsidR="00616A37" w:rsidRPr="00EF252B" w:rsidRDefault="00616A37">
      <w:pPr>
        <w:pStyle w:val="af"/>
        <w:rPr>
          <w:sz w:val="18"/>
          <w:szCs w:val="18"/>
        </w:rPr>
      </w:pPr>
      <w:r w:rsidRPr="0072724A">
        <w:rPr>
          <w:rStyle w:val="af1"/>
          <w:sz w:val="18"/>
          <w:szCs w:val="18"/>
        </w:rPr>
        <w:footnoteRef/>
      </w:r>
      <w:r w:rsidRPr="0072724A">
        <w:rPr>
          <w:sz w:val="18"/>
          <w:szCs w:val="18"/>
        </w:rPr>
        <w:t xml:space="preserve"> Лист ТОВ «АГЕНЦІЯ ІНВЕСТИЦІЙНОГО МЕНЕДЖМЕНТУ» від 17.10.2022 № 17-10-2022-е-1 (вх. № 8-09/8058 від</w:t>
      </w:r>
      <w:r w:rsidR="002217CD">
        <w:rPr>
          <w:sz w:val="18"/>
          <w:szCs w:val="18"/>
        </w:rPr>
        <w:t> </w:t>
      </w:r>
      <w:r w:rsidRPr="0072724A">
        <w:rPr>
          <w:sz w:val="18"/>
          <w:szCs w:val="18"/>
        </w:rPr>
        <w:t>19.10.2022).</w:t>
      </w:r>
    </w:p>
  </w:footnote>
  <w:footnote w:id="5">
    <w:p w14:paraId="2F5BFB95" w14:textId="472CAF31" w:rsidR="00F155DF" w:rsidRPr="0072724A" w:rsidRDefault="00F155DF" w:rsidP="008E2477">
      <w:pPr>
        <w:pStyle w:val="af"/>
        <w:rPr>
          <w:sz w:val="18"/>
          <w:szCs w:val="18"/>
        </w:rPr>
      </w:pPr>
      <w:r w:rsidRPr="0072724A">
        <w:rPr>
          <w:rStyle w:val="af1"/>
          <w:sz w:val="18"/>
          <w:szCs w:val="18"/>
        </w:rPr>
        <w:footnoteRef/>
      </w:r>
      <w:r w:rsidRPr="0072724A">
        <w:rPr>
          <w:sz w:val="18"/>
          <w:szCs w:val="18"/>
        </w:rPr>
        <w:t xml:space="preserve"> За даними НКРЕКП, лист від 14.11.2022 № 14580/14.2.1/7-22 (вх. Комітету </w:t>
      </w:r>
      <w:r w:rsidR="00125995" w:rsidRPr="0072724A">
        <w:rPr>
          <w:sz w:val="18"/>
          <w:szCs w:val="18"/>
        </w:rPr>
        <w:t>№ 7-09/9052</w:t>
      </w:r>
      <w:r w:rsidR="00BB2438" w:rsidRPr="0072724A">
        <w:rPr>
          <w:sz w:val="18"/>
          <w:szCs w:val="18"/>
        </w:rPr>
        <w:t xml:space="preserve"> </w:t>
      </w:r>
      <w:r w:rsidRPr="0072724A">
        <w:rPr>
          <w:sz w:val="18"/>
          <w:szCs w:val="18"/>
        </w:rPr>
        <w:t xml:space="preserve">від 15.11.2022). </w:t>
      </w:r>
    </w:p>
  </w:footnote>
  <w:footnote w:id="6">
    <w:p w14:paraId="76CF3FD1" w14:textId="77777777" w:rsidR="00F155DF" w:rsidRPr="0072724A" w:rsidRDefault="00F155DF" w:rsidP="008E2477">
      <w:pPr>
        <w:pStyle w:val="af"/>
        <w:rPr>
          <w:sz w:val="18"/>
          <w:szCs w:val="18"/>
        </w:rPr>
      </w:pPr>
      <w:r w:rsidRPr="0072724A">
        <w:rPr>
          <w:rStyle w:val="af1"/>
          <w:sz w:val="18"/>
          <w:szCs w:val="18"/>
        </w:rPr>
        <w:footnoteRef/>
      </w:r>
      <w:r w:rsidRPr="0072724A">
        <w:rPr>
          <w:sz w:val="18"/>
          <w:szCs w:val="18"/>
        </w:rPr>
        <w:t xml:space="preserve"> Дні укладення Договорів. </w:t>
      </w:r>
    </w:p>
  </w:footnote>
  <w:footnote w:id="7">
    <w:p w14:paraId="07D03A14" w14:textId="1849D0DB" w:rsidR="00F155DF" w:rsidRPr="00E33EB4" w:rsidRDefault="00F155DF" w:rsidP="008E2477">
      <w:pPr>
        <w:pStyle w:val="af"/>
      </w:pPr>
      <w:r w:rsidRPr="0072724A">
        <w:rPr>
          <w:rStyle w:val="af1"/>
          <w:sz w:val="18"/>
          <w:szCs w:val="18"/>
        </w:rPr>
        <w:footnoteRef/>
      </w:r>
      <w:r w:rsidRPr="0072724A">
        <w:rPr>
          <w:sz w:val="18"/>
          <w:szCs w:val="18"/>
        </w:rPr>
        <w:t xml:space="preserve"> За даними НКРЕКП, лист від 14.11.2022 № 14580/14.2.1/7-22 (вх. Комітету </w:t>
      </w:r>
      <w:r w:rsidR="00125995" w:rsidRPr="0072724A">
        <w:rPr>
          <w:sz w:val="18"/>
          <w:szCs w:val="18"/>
        </w:rPr>
        <w:t xml:space="preserve">№ 7-09/9052 </w:t>
      </w:r>
      <w:r w:rsidRPr="0072724A">
        <w:rPr>
          <w:sz w:val="18"/>
          <w:szCs w:val="18"/>
        </w:rPr>
        <w:t>від 15.11.2022).</w:t>
      </w:r>
      <w:r w:rsidRPr="00E33EB4">
        <w:t xml:space="preserve"> </w:t>
      </w:r>
    </w:p>
  </w:footnote>
  <w:footnote w:id="8">
    <w:p w14:paraId="6CD5241E" w14:textId="62DE242B" w:rsidR="00F155DF" w:rsidRPr="0072724A" w:rsidRDefault="00F155DF" w:rsidP="009F67DB">
      <w:pPr>
        <w:pStyle w:val="aa"/>
        <w:ind w:left="0"/>
        <w:contextualSpacing w:val="0"/>
        <w:rPr>
          <w:rFonts w:ascii="Times New Roman" w:hAnsi="Times New Roman"/>
          <w:color w:val="000000" w:themeColor="text1"/>
          <w:sz w:val="18"/>
          <w:szCs w:val="18"/>
        </w:rPr>
      </w:pPr>
      <w:r w:rsidRPr="0072724A">
        <w:rPr>
          <w:rStyle w:val="af1"/>
          <w:rFonts w:ascii="Times New Roman" w:hAnsi="Times New Roman"/>
          <w:sz w:val="18"/>
          <w:szCs w:val="18"/>
        </w:rPr>
        <w:footnoteRef/>
      </w:r>
      <w:r w:rsidRPr="0072724A">
        <w:rPr>
          <w:rFonts w:ascii="Times New Roman" w:hAnsi="Times New Roman"/>
          <w:sz w:val="18"/>
          <w:szCs w:val="18"/>
        </w:rPr>
        <w:t xml:space="preserve"> Правила ринку, затверджені Постановою </w:t>
      </w:r>
      <w:r w:rsidRPr="0072724A">
        <w:rPr>
          <w:rStyle w:val="rvts9"/>
          <w:rFonts w:ascii="Times New Roman" w:hAnsi="Times New Roman"/>
          <w:bCs/>
          <w:sz w:val="18"/>
          <w:szCs w:val="18"/>
          <w:shd w:val="clear" w:color="auto" w:fill="FFFFFF"/>
        </w:rPr>
        <w:t>НКРЕКП від</w:t>
      </w:r>
      <w:r w:rsidRPr="0072724A">
        <w:rPr>
          <w:rFonts w:ascii="Times New Roman" w:hAnsi="Times New Roman"/>
          <w:sz w:val="18"/>
          <w:szCs w:val="18"/>
        </w:rPr>
        <w:t xml:space="preserve"> </w:t>
      </w:r>
      <w:r w:rsidRPr="0072724A">
        <w:rPr>
          <w:rStyle w:val="rvts9"/>
          <w:rFonts w:ascii="Times New Roman" w:hAnsi="Times New Roman"/>
          <w:bCs/>
          <w:sz w:val="18"/>
          <w:szCs w:val="18"/>
          <w:shd w:val="clear" w:color="auto" w:fill="FFFFFF"/>
        </w:rPr>
        <w:t>14.03.2018 № 307 (у редакції постанови НКРЕКП</w:t>
      </w:r>
      <w:r w:rsidRPr="0072724A">
        <w:rPr>
          <w:rFonts w:ascii="Times New Roman" w:hAnsi="Times New Roman"/>
          <w:sz w:val="18"/>
          <w:szCs w:val="18"/>
        </w:rPr>
        <w:t xml:space="preserve"> </w:t>
      </w:r>
      <w:r w:rsidR="002217CD" w:rsidRPr="0072724A">
        <w:rPr>
          <w:rFonts w:ascii="Times New Roman" w:hAnsi="Times New Roman"/>
          <w:sz w:val="18"/>
          <w:szCs w:val="18"/>
        </w:rPr>
        <w:t>від</w:t>
      </w:r>
      <w:r w:rsidR="002217CD" w:rsidRPr="0072724A">
        <w:rPr>
          <w:rFonts w:ascii="Times New Roman" w:hAnsi="Times New Roman"/>
          <w:sz w:val="18"/>
          <w:szCs w:val="18"/>
          <w:lang w:val="uk-UA"/>
        </w:rPr>
        <w:t> </w:t>
      </w:r>
      <w:r w:rsidRPr="0072724A">
        <w:rPr>
          <w:sz w:val="18"/>
          <w:szCs w:val="18"/>
        </w:rPr>
        <w:t>24</w:t>
      </w:r>
      <w:r w:rsidRPr="0072724A">
        <w:rPr>
          <w:rStyle w:val="rvts9"/>
          <w:rFonts w:ascii="Times New Roman" w:hAnsi="Times New Roman"/>
          <w:bCs/>
          <w:sz w:val="18"/>
          <w:szCs w:val="18"/>
          <w:shd w:val="clear" w:color="auto" w:fill="FFFFFF"/>
        </w:rPr>
        <w:t>.06.2019 №</w:t>
      </w:r>
      <w:r w:rsidR="00FB5ABA">
        <w:rPr>
          <w:rStyle w:val="rvts9"/>
          <w:rFonts w:ascii="Times New Roman" w:hAnsi="Times New Roman"/>
          <w:bCs/>
          <w:sz w:val="18"/>
          <w:szCs w:val="18"/>
          <w:shd w:val="clear" w:color="auto" w:fill="FFFFFF"/>
          <w:lang w:val="uk-UA"/>
        </w:rPr>
        <w:t> </w:t>
      </w:r>
      <w:r w:rsidRPr="0072724A">
        <w:rPr>
          <w:rStyle w:val="rvts9"/>
          <w:rFonts w:ascii="Times New Roman" w:hAnsi="Times New Roman"/>
          <w:bCs/>
          <w:sz w:val="18"/>
          <w:szCs w:val="18"/>
          <w:shd w:val="clear" w:color="auto" w:fill="FFFFFF"/>
        </w:rPr>
        <w:t>1168).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3756675"/>
      <w:docPartObj>
        <w:docPartGallery w:val="Page Numbers (Top of Page)"/>
        <w:docPartUnique/>
      </w:docPartObj>
    </w:sdtPr>
    <w:sdtEndPr>
      <w:rPr>
        <w:color w:val="000000" w:themeColor="text1"/>
      </w:rPr>
    </w:sdtEndPr>
    <w:sdtContent>
      <w:p w14:paraId="6BE33E1B" w14:textId="1D11FBBC" w:rsidR="0089183C" w:rsidRPr="00F809DE" w:rsidRDefault="0089183C" w:rsidP="0089183C">
        <w:pPr>
          <w:pStyle w:val="af7"/>
          <w:jc w:val="center"/>
          <w:rPr>
            <w:color w:val="000000" w:themeColor="text1"/>
          </w:rPr>
        </w:pPr>
        <w:r w:rsidRPr="00F809DE">
          <w:rPr>
            <w:color w:val="000000" w:themeColor="text1"/>
          </w:rPr>
          <w:fldChar w:fldCharType="begin"/>
        </w:r>
        <w:r w:rsidRPr="00F809DE">
          <w:rPr>
            <w:color w:val="000000" w:themeColor="text1"/>
          </w:rPr>
          <w:instrText>PAGE   \* MERGEFORMAT</w:instrText>
        </w:r>
        <w:r w:rsidRPr="00F809DE">
          <w:rPr>
            <w:color w:val="000000" w:themeColor="text1"/>
          </w:rPr>
          <w:fldChar w:fldCharType="separate"/>
        </w:r>
        <w:r w:rsidR="007424B5">
          <w:rPr>
            <w:noProof/>
            <w:color w:val="000000" w:themeColor="text1"/>
          </w:rPr>
          <w:t>8</w:t>
        </w:r>
        <w:r w:rsidRPr="00F809DE">
          <w:rPr>
            <w:color w:val="000000" w:themeColor="text1"/>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E14B0B"/>
    <w:multiLevelType w:val="hybridMultilevel"/>
    <w:tmpl w:val="8C728050"/>
    <w:lvl w:ilvl="0" w:tplc="E6A03E24">
      <w:start w:val="1"/>
      <w:numFmt w:val="decimal"/>
      <w:lvlText w:val="(%1)"/>
      <w:lvlJc w:val="left"/>
      <w:pPr>
        <w:tabs>
          <w:tab w:val="num" w:pos="360"/>
        </w:tabs>
        <w:ind w:left="360" w:hanging="360"/>
      </w:pPr>
      <w:rPr>
        <w:rFonts w:ascii="Times New Roman" w:hAnsi="Times New Roman" w:cs="Times New Roman" w:hint="default"/>
        <w:b w:val="0"/>
        <w:i w:val="0"/>
        <w:sz w:val="24"/>
        <w:szCs w:val="24"/>
      </w:rPr>
    </w:lvl>
    <w:lvl w:ilvl="1" w:tplc="DB889772">
      <w:start w:val="2"/>
      <w:numFmt w:val="bullet"/>
      <w:lvlText w:val="-"/>
      <w:lvlJc w:val="left"/>
      <w:pPr>
        <w:tabs>
          <w:tab w:val="num" w:pos="1905"/>
        </w:tabs>
        <w:ind w:left="1905" w:hanging="825"/>
      </w:pPr>
      <w:rPr>
        <w:rFonts w:ascii="Times New Roman" w:eastAsia="Times New Roman" w:hAnsi="Times New Roman" w:cs="Times New Roman" w:hint="default"/>
      </w:rPr>
    </w:lvl>
    <w:lvl w:ilvl="2" w:tplc="D5CE018A">
      <w:start w:val="1"/>
      <w:numFmt w:val="decimal"/>
      <w:lvlText w:val="%3."/>
      <w:lvlJc w:val="left"/>
      <w:pPr>
        <w:tabs>
          <w:tab w:val="num" w:pos="2340"/>
        </w:tabs>
        <w:ind w:left="2340" w:hanging="360"/>
      </w:pPr>
      <w:rPr>
        <w:rFonts w:hint="default"/>
      </w:r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15:restartNumberingAfterBreak="0">
    <w:nsid w:val="525A1D55"/>
    <w:multiLevelType w:val="hybridMultilevel"/>
    <w:tmpl w:val="FB462E62"/>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 w15:restartNumberingAfterBreak="0">
    <w:nsid w:val="763B787E"/>
    <w:multiLevelType w:val="hybridMultilevel"/>
    <w:tmpl w:val="D18A4EE2"/>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845503A"/>
    <w:multiLevelType w:val="hybridMultilevel"/>
    <w:tmpl w:val="2B3E6836"/>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CA64C8E"/>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3602"/>
    <w:rsid w:val="000162C2"/>
    <w:rsid w:val="00023602"/>
    <w:rsid w:val="00027608"/>
    <w:rsid w:val="00042D47"/>
    <w:rsid w:val="00081BEC"/>
    <w:rsid w:val="000C1055"/>
    <w:rsid w:val="000E7763"/>
    <w:rsid w:val="0010402B"/>
    <w:rsid w:val="001126AB"/>
    <w:rsid w:val="001155C7"/>
    <w:rsid w:val="00125995"/>
    <w:rsid w:val="00131057"/>
    <w:rsid w:val="00175F3C"/>
    <w:rsid w:val="0018226A"/>
    <w:rsid w:val="001A4E4A"/>
    <w:rsid w:val="001B07EA"/>
    <w:rsid w:val="001B11F5"/>
    <w:rsid w:val="002217CD"/>
    <w:rsid w:val="002251B4"/>
    <w:rsid w:val="00226668"/>
    <w:rsid w:val="0023006E"/>
    <w:rsid w:val="00287897"/>
    <w:rsid w:val="002B5921"/>
    <w:rsid w:val="002C012E"/>
    <w:rsid w:val="002C7C21"/>
    <w:rsid w:val="002D2D58"/>
    <w:rsid w:val="002E6299"/>
    <w:rsid w:val="002F3BE6"/>
    <w:rsid w:val="002F5021"/>
    <w:rsid w:val="003313DE"/>
    <w:rsid w:val="0034653B"/>
    <w:rsid w:val="0036713F"/>
    <w:rsid w:val="0039000D"/>
    <w:rsid w:val="003967F3"/>
    <w:rsid w:val="003A2A08"/>
    <w:rsid w:val="0041013C"/>
    <w:rsid w:val="0042571F"/>
    <w:rsid w:val="00441AEB"/>
    <w:rsid w:val="00455699"/>
    <w:rsid w:val="004574B4"/>
    <w:rsid w:val="00464550"/>
    <w:rsid w:val="004A5779"/>
    <w:rsid w:val="004B3A86"/>
    <w:rsid w:val="004D698D"/>
    <w:rsid w:val="004D709F"/>
    <w:rsid w:val="004F5B96"/>
    <w:rsid w:val="005039F9"/>
    <w:rsid w:val="00503C81"/>
    <w:rsid w:val="00520CF3"/>
    <w:rsid w:val="00544C1E"/>
    <w:rsid w:val="00595DAA"/>
    <w:rsid w:val="005D0320"/>
    <w:rsid w:val="005D1732"/>
    <w:rsid w:val="005D2DF6"/>
    <w:rsid w:val="005D479E"/>
    <w:rsid w:val="005E050F"/>
    <w:rsid w:val="006069A6"/>
    <w:rsid w:val="00612038"/>
    <w:rsid w:val="00616A37"/>
    <w:rsid w:val="00666B70"/>
    <w:rsid w:val="006C78DE"/>
    <w:rsid w:val="00704052"/>
    <w:rsid w:val="0072724A"/>
    <w:rsid w:val="007376D3"/>
    <w:rsid w:val="00740F18"/>
    <w:rsid w:val="007417EE"/>
    <w:rsid w:val="007424B5"/>
    <w:rsid w:val="00747F7D"/>
    <w:rsid w:val="00752426"/>
    <w:rsid w:val="00775009"/>
    <w:rsid w:val="00795148"/>
    <w:rsid w:val="007A1649"/>
    <w:rsid w:val="007A329B"/>
    <w:rsid w:val="007A7CFF"/>
    <w:rsid w:val="007C6B96"/>
    <w:rsid w:val="0080203A"/>
    <w:rsid w:val="00836F1A"/>
    <w:rsid w:val="00863562"/>
    <w:rsid w:val="00883752"/>
    <w:rsid w:val="0089183C"/>
    <w:rsid w:val="008B146D"/>
    <w:rsid w:val="008B745B"/>
    <w:rsid w:val="008E2477"/>
    <w:rsid w:val="008E2A81"/>
    <w:rsid w:val="00916699"/>
    <w:rsid w:val="00916BE0"/>
    <w:rsid w:val="0096660A"/>
    <w:rsid w:val="00990408"/>
    <w:rsid w:val="009F67DB"/>
    <w:rsid w:val="00A2690C"/>
    <w:rsid w:val="00A26DA9"/>
    <w:rsid w:val="00A61E4D"/>
    <w:rsid w:val="00A93546"/>
    <w:rsid w:val="00AA2CAE"/>
    <w:rsid w:val="00AB4DDF"/>
    <w:rsid w:val="00AC71CD"/>
    <w:rsid w:val="00AE3FF6"/>
    <w:rsid w:val="00B0405B"/>
    <w:rsid w:val="00B05D58"/>
    <w:rsid w:val="00B15994"/>
    <w:rsid w:val="00B16081"/>
    <w:rsid w:val="00B242AA"/>
    <w:rsid w:val="00B45101"/>
    <w:rsid w:val="00B61D3C"/>
    <w:rsid w:val="00BB2438"/>
    <w:rsid w:val="00BB613B"/>
    <w:rsid w:val="00BD015B"/>
    <w:rsid w:val="00BF7AB5"/>
    <w:rsid w:val="00C07561"/>
    <w:rsid w:val="00C107B6"/>
    <w:rsid w:val="00C12CA3"/>
    <w:rsid w:val="00C16802"/>
    <w:rsid w:val="00C2126D"/>
    <w:rsid w:val="00C36E1D"/>
    <w:rsid w:val="00C64580"/>
    <w:rsid w:val="00C91FD8"/>
    <w:rsid w:val="00CB08AA"/>
    <w:rsid w:val="00CB4A70"/>
    <w:rsid w:val="00CE24D8"/>
    <w:rsid w:val="00CF46EF"/>
    <w:rsid w:val="00D123EE"/>
    <w:rsid w:val="00D23F14"/>
    <w:rsid w:val="00D546CC"/>
    <w:rsid w:val="00D61836"/>
    <w:rsid w:val="00D7275F"/>
    <w:rsid w:val="00D9771E"/>
    <w:rsid w:val="00DA0187"/>
    <w:rsid w:val="00DD2F77"/>
    <w:rsid w:val="00DF7727"/>
    <w:rsid w:val="00E00483"/>
    <w:rsid w:val="00E11532"/>
    <w:rsid w:val="00E12652"/>
    <w:rsid w:val="00E27155"/>
    <w:rsid w:val="00E5550C"/>
    <w:rsid w:val="00E5711F"/>
    <w:rsid w:val="00E66E7A"/>
    <w:rsid w:val="00EB48DB"/>
    <w:rsid w:val="00EF252B"/>
    <w:rsid w:val="00F03C2E"/>
    <w:rsid w:val="00F06323"/>
    <w:rsid w:val="00F155DF"/>
    <w:rsid w:val="00F40632"/>
    <w:rsid w:val="00F67FA3"/>
    <w:rsid w:val="00F809DE"/>
    <w:rsid w:val="00FB073B"/>
    <w:rsid w:val="00FB5ABA"/>
    <w:rsid w:val="00FC148C"/>
    <w:rsid w:val="00FF096F"/>
    <w:rsid w:val="00FF10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2B134"/>
  <w15:docId w15:val="{26960585-BF12-4C8E-BD29-CD0606C5C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3602"/>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023602"/>
    <w:rPr>
      <w:sz w:val="16"/>
      <w:szCs w:val="16"/>
    </w:rPr>
  </w:style>
  <w:style w:type="paragraph" w:styleId="a4">
    <w:name w:val="annotation text"/>
    <w:basedOn w:val="a"/>
    <w:link w:val="a5"/>
    <w:uiPriority w:val="99"/>
    <w:semiHidden/>
    <w:unhideWhenUsed/>
    <w:rsid w:val="00023602"/>
    <w:rPr>
      <w:sz w:val="20"/>
      <w:szCs w:val="20"/>
    </w:rPr>
  </w:style>
  <w:style w:type="character" w:customStyle="1" w:styleId="a5">
    <w:name w:val="Текст примечания Знак"/>
    <w:basedOn w:val="a0"/>
    <w:link w:val="a4"/>
    <w:uiPriority w:val="99"/>
    <w:semiHidden/>
    <w:rsid w:val="00023602"/>
    <w:rPr>
      <w:rFonts w:ascii="Times New Roman" w:eastAsia="Times New Roman" w:hAnsi="Times New Roman" w:cs="Times New Roman"/>
      <w:sz w:val="20"/>
      <w:szCs w:val="20"/>
      <w:lang w:eastAsia="uk-UA"/>
    </w:rPr>
  </w:style>
  <w:style w:type="paragraph" w:styleId="a6">
    <w:name w:val="annotation subject"/>
    <w:basedOn w:val="a4"/>
    <w:next w:val="a4"/>
    <w:link w:val="a7"/>
    <w:uiPriority w:val="99"/>
    <w:semiHidden/>
    <w:unhideWhenUsed/>
    <w:rsid w:val="00023602"/>
    <w:rPr>
      <w:b/>
      <w:bCs/>
    </w:rPr>
  </w:style>
  <w:style w:type="character" w:customStyle="1" w:styleId="a7">
    <w:name w:val="Тема примечания Знак"/>
    <w:basedOn w:val="a5"/>
    <w:link w:val="a6"/>
    <w:uiPriority w:val="99"/>
    <w:semiHidden/>
    <w:rsid w:val="00023602"/>
    <w:rPr>
      <w:rFonts w:ascii="Times New Roman" w:eastAsia="Times New Roman" w:hAnsi="Times New Roman" w:cs="Times New Roman"/>
      <w:b/>
      <w:bCs/>
      <w:sz w:val="20"/>
      <w:szCs w:val="20"/>
      <w:lang w:eastAsia="uk-UA"/>
    </w:rPr>
  </w:style>
  <w:style w:type="paragraph" w:styleId="a8">
    <w:name w:val="Balloon Text"/>
    <w:basedOn w:val="a"/>
    <w:link w:val="a9"/>
    <w:uiPriority w:val="99"/>
    <w:semiHidden/>
    <w:unhideWhenUsed/>
    <w:rsid w:val="00023602"/>
    <w:rPr>
      <w:rFonts w:ascii="Segoe UI" w:hAnsi="Segoe UI" w:cs="Segoe UI"/>
      <w:sz w:val="18"/>
      <w:szCs w:val="18"/>
    </w:rPr>
  </w:style>
  <w:style w:type="character" w:customStyle="1" w:styleId="a9">
    <w:name w:val="Текст выноски Знак"/>
    <w:basedOn w:val="a0"/>
    <w:link w:val="a8"/>
    <w:uiPriority w:val="99"/>
    <w:semiHidden/>
    <w:rsid w:val="00023602"/>
    <w:rPr>
      <w:rFonts w:ascii="Segoe UI" w:eastAsia="Times New Roman" w:hAnsi="Segoe UI" w:cs="Segoe UI"/>
      <w:sz w:val="18"/>
      <w:szCs w:val="18"/>
      <w:lang w:eastAsia="uk-UA"/>
    </w:rPr>
  </w:style>
  <w:style w:type="paragraph" w:styleId="aa">
    <w:name w:val="List Paragraph"/>
    <w:aliases w:val="#Listenabsatz,Bullet List,FooterText,numbered,Paragraphe de liste1,Bulletr List Paragraph,列出段落,列出段落1,List Paragraph2,List Paragraph21,Párrafo de lista1,Parágrafo da Lista1,リスト段落1,Listeafsnit1,Bullet list,List Paragraph11,Listenabsatz1"/>
    <w:basedOn w:val="a"/>
    <w:link w:val="ab"/>
    <w:uiPriority w:val="34"/>
    <w:qFormat/>
    <w:rsid w:val="00FB073B"/>
    <w:pPr>
      <w:spacing w:before="100" w:after="100"/>
      <w:ind w:left="720"/>
      <w:contextualSpacing/>
      <w:jc w:val="both"/>
    </w:pPr>
    <w:rPr>
      <w:rFonts w:ascii="Calibri" w:eastAsia="Calibri" w:hAnsi="Calibri"/>
      <w:sz w:val="22"/>
      <w:szCs w:val="22"/>
      <w:lang w:val="ru-RU" w:eastAsia="en-US"/>
    </w:rPr>
  </w:style>
  <w:style w:type="paragraph" w:styleId="ac">
    <w:name w:val="endnote text"/>
    <w:basedOn w:val="a"/>
    <w:link w:val="ad"/>
    <w:uiPriority w:val="99"/>
    <w:semiHidden/>
    <w:unhideWhenUsed/>
    <w:rsid w:val="00FB073B"/>
    <w:rPr>
      <w:sz w:val="20"/>
      <w:szCs w:val="20"/>
    </w:rPr>
  </w:style>
  <w:style w:type="character" w:customStyle="1" w:styleId="ad">
    <w:name w:val="Текст концевой сноски Знак"/>
    <w:basedOn w:val="a0"/>
    <w:link w:val="ac"/>
    <w:uiPriority w:val="99"/>
    <w:semiHidden/>
    <w:rsid w:val="00FB073B"/>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FB073B"/>
    <w:rPr>
      <w:vertAlign w:val="superscript"/>
    </w:rPr>
  </w:style>
  <w:style w:type="paragraph" w:styleId="af">
    <w:name w:val="footnote text"/>
    <w:basedOn w:val="a"/>
    <w:link w:val="af0"/>
    <w:uiPriority w:val="99"/>
    <w:semiHidden/>
    <w:unhideWhenUsed/>
    <w:rsid w:val="00FB073B"/>
    <w:rPr>
      <w:sz w:val="20"/>
      <w:szCs w:val="20"/>
    </w:rPr>
  </w:style>
  <w:style w:type="character" w:customStyle="1" w:styleId="af0">
    <w:name w:val="Текст сноски Знак"/>
    <w:basedOn w:val="a0"/>
    <w:link w:val="af"/>
    <w:uiPriority w:val="99"/>
    <w:semiHidden/>
    <w:rsid w:val="00FB073B"/>
    <w:rPr>
      <w:rFonts w:ascii="Times New Roman" w:eastAsia="Times New Roman" w:hAnsi="Times New Roman" w:cs="Times New Roman"/>
      <w:sz w:val="20"/>
      <w:szCs w:val="20"/>
      <w:lang w:eastAsia="uk-UA"/>
    </w:rPr>
  </w:style>
  <w:style w:type="character" w:styleId="af1">
    <w:name w:val="footnote reference"/>
    <w:basedOn w:val="a0"/>
    <w:uiPriority w:val="99"/>
    <w:unhideWhenUsed/>
    <w:rsid w:val="00FB073B"/>
    <w:rPr>
      <w:vertAlign w:val="superscript"/>
    </w:rPr>
  </w:style>
  <w:style w:type="paragraph" w:customStyle="1" w:styleId="rvps2">
    <w:name w:val="rvps2"/>
    <w:basedOn w:val="a"/>
    <w:rsid w:val="004B3A86"/>
    <w:pPr>
      <w:spacing w:before="100" w:beforeAutospacing="1" w:after="100" w:afterAutospacing="1"/>
    </w:pPr>
    <w:rPr>
      <w:lang w:eastAsia="ru-RU"/>
    </w:rPr>
  </w:style>
  <w:style w:type="character" w:customStyle="1" w:styleId="ab">
    <w:name w:val="Абзац списка Знак"/>
    <w:aliases w:val="#Listenabsatz Знак,Bullet List Знак,FooterText Знак,numbered Знак,Paragraphe de liste1 Знак,Bulletr List Paragraph Знак,列出段落 Знак,列出段落1 Знак,List Paragraph2 Знак,List Paragraph21 Знак,Párrafo de lista1 Знак,Parágrafo da Lista1 Знак"/>
    <w:link w:val="aa"/>
    <w:uiPriority w:val="34"/>
    <w:qFormat/>
    <w:locked/>
    <w:rsid w:val="004B3A86"/>
    <w:rPr>
      <w:rFonts w:ascii="Calibri" w:eastAsia="Calibri" w:hAnsi="Calibri" w:cs="Times New Roman"/>
      <w:lang w:val="ru-RU"/>
    </w:rPr>
  </w:style>
  <w:style w:type="paragraph" w:customStyle="1" w:styleId="rvps14">
    <w:name w:val="rvps14"/>
    <w:basedOn w:val="a"/>
    <w:rsid w:val="004B3A86"/>
    <w:pPr>
      <w:spacing w:before="100" w:beforeAutospacing="1" w:after="100" w:afterAutospacing="1"/>
    </w:pPr>
    <w:rPr>
      <w:lang w:eastAsia="ru-RU"/>
    </w:rPr>
  </w:style>
  <w:style w:type="character" w:customStyle="1" w:styleId="rvts9">
    <w:name w:val="rvts9"/>
    <w:basedOn w:val="a0"/>
    <w:rsid w:val="004B3A86"/>
  </w:style>
  <w:style w:type="character" w:styleId="af2">
    <w:name w:val="Hyperlink"/>
    <w:rsid w:val="008E2477"/>
    <w:rPr>
      <w:color w:val="0000FF"/>
      <w:u w:val="single"/>
    </w:rPr>
  </w:style>
  <w:style w:type="paragraph" w:styleId="af3">
    <w:name w:val="Normal (Web)"/>
    <w:basedOn w:val="a"/>
    <w:uiPriority w:val="99"/>
    <w:unhideWhenUsed/>
    <w:rsid w:val="008E2477"/>
    <w:pPr>
      <w:spacing w:before="100" w:beforeAutospacing="1" w:after="100" w:afterAutospacing="1"/>
    </w:pPr>
    <w:rPr>
      <w:lang w:eastAsia="ru-RU"/>
    </w:rPr>
  </w:style>
  <w:style w:type="character" w:customStyle="1" w:styleId="rvts46">
    <w:name w:val="rvts46"/>
    <w:basedOn w:val="a0"/>
    <w:rsid w:val="008E2477"/>
  </w:style>
  <w:style w:type="table" w:styleId="af4">
    <w:name w:val="Table Grid"/>
    <w:basedOn w:val="a1"/>
    <w:uiPriority w:val="39"/>
    <w:rsid w:val="008E24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Emphasis"/>
    <w:basedOn w:val="a0"/>
    <w:uiPriority w:val="20"/>
    <w:qFormat/>
    <w:rsid w:val="008E2477"/>
    <w:rPr>
      <w:i/>
      <w:iCs/>
    </w:rPr>
  </w:style>
  <w:style w:type="character" w:customStyle="1" w:styleId="apple-converted-space">
    <w:name w:val="apple-converted-space"/>
    <w:basedOn w:val="a0"/>
    <w:rsid w:val="009F67DB"/>
  </w:style>
  <w:style w:type="character" w:customStyle="1" w:styleId="rvts23">
    <w:name w:val="rvts23"/>
    <w:basedOn w:val="a0"/>
    <w:rsid w:val="009F67DB"/>
  </w:style>
  <w:style w:type="paragraph" w:customStyle="1" w:styleId="-11">
    <w:name w:val="Цветной список - Акцент 11"/>
    <w:basedOn w:val="a"/>
    <w:qFormat/>
    <w:rsid w:val="009F67DB"/>
    <w:pPr>
      <w:ind w:left="720"/>
      <w:contextualSpacing/>
    </w:pPr>
    <w:rPr>
      <w:rFonts w:ascii="Calibri" w:eastAsia="Calibri" w:hAnsi="Calibri"/>
      <w:lang w:val="ru-RU" w:eastAsia="en-US"/>
    </w:rPr>
  </w:style>
  <w:style w:type="character" w:styleId="af6">
    <w:name w:val="FollowedHyperlink"/>
    <w:basedOn w:val="a0"/>
    <w:uiPriority w:val="99"/>
    <w:semiHidden/>
    <w:unhideWhenUsed/>
    <w:rsid w:val="001A4E4A"/>
    <w:rPr>
      <w:color w:val="954F72" w:themeColor="followedHyperlink"/>
      <w:u w:val="single"/>
    </w:rPr>
  </w:style>
  <w:style w:type="paragraph" w:customStyle="1" w:styleId="paragraph">
    <w:name w:val="paragraph"/>
    <w:basedOn w:val="a"/>
    <w:rsid w:val="00AE3FF6"/>
    <w:pPr>
      <w:spacing w:before="100" w:beforeAutospacing="1" w:after="100" w:afterAutospacing="1"/>
    </w:pPr>
  </w:style>
  <w:style w:type="character" w:customStyle="1" w:styleId="normaltextrun">
    <w:name w:val="normaltextrun"/>
    <w:basedOn w:val="a0"/>
    <w:rsid w:val="00AE3FF6"/>
  </w:style>
  <w:style w:type="paragraph" w:styleId="af7">
    <w:name w:val="header"/>
    <w:basedOn w:val="a"/>
    <w:link w:val="af8"/>
    <w:uiPriority w:val="99"/>
    <w:unhideWhenUsed/>
    <w:rsid w:val="0089183C"/>
    <w:pPr>
      <w:tabs>
        <w:tab w:val="center" w:pos="4677"/>
        <w:tab w:val="right" w:pos="9355"/>
      </w:tabs>
    </w:pPr>
  </w:style>
  <w:style w:type="character" w:customStyle="1" w:styleId="af8">
    <w:name w:val="Верхний колонтитул Знак"/>
    <w:basedOn w:val="a0"/>
    <w:link w:val="af7"/>
    <w:uiPriority w:val="99"/>
    <w:rsid w:val="0089183C"/>
    <w:rPr>
      <w:rFonts w:ascii="Times New Roman" w:eastAsia="Times New Roman" w:hAnsi="Times New Roman" w:cs="Times New Roman"/>
      <w:sz w:val="24"/>
      <w:szCs w:val="24"/>
      <w:lang w:eastAsia="uk-UA"/>
    </w:rPr>
  </w:style>
  <w:style w:type="paragraph" w:styleId="af9">
    <w:name w:val="footer"/>
    <w:basedOn w:val="a"/>
    <w:link w:val="afa"/>
    <w:uiPriority w:val="99"/>
    <w:unhideWhenUsed/>
    <w:rsid w:val="0089183C"/>
    <w:pPr>
      <w:tabs>
        <w:tab w:val="center" w:pos="4677"/>
        <w:tab w:val="right" w:pos="9355"/>
      </w:tabs>
    </w:pPr>
  </w:style>
  <w:style w:type="character" w:customStyle="1" w:styleId="afa">
    <w:name w:val="Нижний колонтитул Знак"/>
    <w:basedOn w:val="a0"/>
    <w:link w:val="af9"/>
    <w:uiPriority w:val="99"/>
    <w:rsid w:val="0089183C"/>
    <w:rPr>
      <w:rFonts w:ascii="Times New Roman" w:eastAsia="Times New Roman" w:hAnsi="Times New Roman" w:cs="Times New Roman"/>
      <w:sz w:val="24"/>
      <w:szCs w:val="24"/>
      <w:lang w:eastAsia="uk-UA"/>
    </w:rPr>
  </w:style>
  <w:style w:type="paragraph" w:styleId="afb">
    <w:name w:val="Revision"/>
    <w:hidden/>
    <w:uiPriority w:val="99"/>
    <w:semiHidden/>
    <w:rsid w:val="005E050F"/>
    <w:pPr>
      <w:spacing w:after="0"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281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v1169874-1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v0307874-1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019-1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ps.ligazakon.net/document/view/gk50946?ed=2021_12_29&amp;an=9"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zakon.rada.gov.ua/laws/show/v0307874-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9E4A2-3539-4B19-96D6-7CD317F34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8</Pages>
  <Words>12885</Words>
  <Characters>7345</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Ніжнік Ілля Ігорович</dc:creator>
  <cp:lastModifiedBy>Ніжнік Ілля Ігорович</cp:lastModifiedBy>
  <cp:revision>14</cp:revision>
  <cp:lastPrinted>2023-02-13T09:50:00Z</cp:lastPrinted>
  <dcterms:created xsi:type="dcterms:W3CDTF">2023-02-10T16:31:00Z</dcterms:created>
  <dcterms:modified xsi:type="dcterms:W3CDTF">2023-02-21T16:15:00Z</dcterms:modified>
</cp:coreProperties>
</file>