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60C" w:rsidRPr="00CD6876" w:rsidRDefault="00C5033D" w:rsidP="00C6660C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val="ru-RU"/>
        </w:rPr>
        <w:drawing>
          <wp:inline distT="0" distB="0" distL="0" distR="0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0C" w:rsidRPr="00CD6876" w:rsidRDefault="00C6660C" w:rsidP="00C6660C">
      <w:pPr>
        <w:jc w:val="center"/>
        <w:rPr>
          <w:b/>
          <w:sz w:val="32"/>
          <w:szCs w:val="32"/>
          <w:lang w:val="ru-RU"/>
        </w:rPr>
      </w:pPr>
      <w:r w:rsidRPr="00CD6876">
        <w:rPr>
          <w:b/>
          <w:sz w:val="32"/>
          <w:szCs w:val="32"/>
          <w:lang w:val="ru-RU"/>
        </w:rPr>
        <w:t>АНТИМОНОПОЛЬНИЙ   КОМІТЕТ   УКРАЇНИ</w:t>
      </w:r>
    </w:p>
    <w:p w:rsidR="00C6660C" w:rsidRPr="00CD6876" w:rsidRDefault="00C6660C" w:rsidP="00C6660C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C6660C" w:rsidRPr="00CD6876" w:rsidRDefault="00C6660C" w:rsidP="00C6660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D6876">
        <w:rPr>
          <w:b/>
          <w:sz w:val="32"/>
          <w:szCs w:val="32"/>
        </w:rPr>
        <w:t>РІШЕННЯ</w:t>
      </w:r>
    </w:p>
    <w:p w:rsidR="007517AE" w:rsidRPr="007517AE" w:rsidRDefault="007517AE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57330C" w:rsidRPr="00211F19" w:rsidRDefault="00454F3D" w:rsidP="00BE7B77">
      <w:pPr>
        <w:tabs>
          <w:tab w:val="left" w:leader="hyphen" w:pos="10206"/>
        </w:tabs>
        <w:rPr>
          <w:sz w:val="24"/>
          <w:szCs w:val="24"/>
        </w:rPr>
      </w:pPr>
      <w:r w:rsidRPr="004B728D">
        <w:rPr>
          <w:bCs/>
          <w:sz w:val="24"/>
          <w:szCs w:val="24"/>
          <w:lang w:val="ru-RU"/>
        </w:rPr>
        <w:t xml:space="preserve">23 </w:t>
      </w:r>
      <w:r w:rsidRPr="004B728D">
        <w:rPr>
          <w:bCs/>
          <w:sz w:val="24"/>
          <w:szCs w:val="24"/>
        </w:rPr>
        <w:t>грудня</w:t>
      </w:r>
      <w:r w:rsidRPr="004B728D">
        <w:rPr>
          <w:bCs/>
          <w:sz w:val="24"/>
          <w:szCs w:val="24"/>
          <w:lang w:val="ru-RU"/>
        </w:rPr>
        <w:t xml:space="preserve"> 2021</w:t>
      </w:r>
      <w:r w:rsidR="00692180" w:rsidRPr="004B728D">
        <w:rPr>
          <w:bCs/>
          <w:sz w:val="24"/>
          <w:szCs w:val="24"/>
        </w:rPr>
        <w:t xml:space="preserve"> </w:t>
      </w:r>
      <w:r w:rsidR="00C6660C" w:rsidRPr="004B728D">
        <w:rPr>
          <w:bCs/>
          <w:sz w:val="24"/>
          <w:szCs w:val="24"/>
        </w:rPr>
        <w:t>р.</w:t>
      </w:r>
      <w:r w:rsidR="00BE7B77" w:rsidRPr="004B728D">
        <w:rPr>
          <w:bCs/>
          <w:sz w:val="24"/>
          <w:szCs w:val="24"/>
        </w:rPr>
        <w:t xml:space="preserve">   </w:t>
      </w:r>
      <w:r w:rsidR="00D34416" w:rsidRPr="004B728D">
        <w:rPr>
          <w:bCs/>
          <w:sz w:val="24"/>
          <w:szCs w:val="24"/>
        </w:rPr>
        <w:t xml:space="preserve">  </w:t>
      </w:r>
      <w:r w:rsidR="00C6660C" w:rsidRPr="004B728D">
        <w:rPr>
          <w:sz w:val="24"/>
          <w:szCs w:val="24"/>
        </w:rPr>
        <w:t xml:space="preserve">           </w:t>
      </w:r>
      <w:r w:rsidR="00537E85" w:rsidRPr="004B728D">
        <w:rPr>
          <w:sz w:val="24"/>
          <w:szCs w:val="24"/>
        </w:rPr>
        <w:t xml:space="preserve"> </w:t>
      </w:r>
      <w:r w:rsidR="00C6660C" w:rsidRPr="004B728D">
        <w:rPr>
          <w:sz w:val="24"/>
          <w:szCs w:val="24"/>
        </w:rPr>
        <w:t xml:space="preserve">  </w:t>
      </w:r>
      <w:r w:rsidR="00305F33" w:rsidRPr="004B728D">
        <w:rPr>
          <w:sz w:val="24"/>
          <w:szCs w:val="24"/>
        </w:rPr>
        <w:t xml:space="preserve">           </w:t>
      </w:r>
      <w:r w:rsidR="00235914" w:rsidRPr="004B728D">
        <w:rPr>
          <w:sz w:val="24"/>
          <w:szCs w:val="24"/>
        </w:rPr>
        <w:t xml:space="preserve">     </w:t>
      </w:r>
      <w:r w:rsidR="00305F33" w:rsidRPr="004B728D">
        <w:rPr>
          <w:sz w:val="24"/>
          <w:szCs w:val="24"/>
        </w:rPr>
        <w:t xml:space="preserve"> </w:t>
      </w:r>
      <w:r w:rsidR="004A7652" w:rsidRPr="004B728D">
        <w:rPr>
          <w:sz w:val="24"/>
          <w:szCs w:val="24"/>
        </w:rPr>
        <w:t xml:space="preserve">   </w:t>
      </w:r>
      <w:r w:rsidR="00FE0280" w:rsidRPr="004B728D">
        <w:rPr>
          <w:sz w:val="24"/>
          <w:szCs w:val="24"/>
        </w:rPr>
        <w:t xml:space="preserve"> </w:t>
      </w:r>
      <w:r w:rsidR="009948C5" w:rsidRPr="004B728D">
        <w:rPr>
          <w:sz w:val="24"/>
          <w:szCs w:val="24"/>
        </w:rPr>
        <w:t xml:space="preserve">  </w:t>
      </w:r>
      <w:r w:rsidR="00C6660C" w:rsidRPr="004B728D">
        <w:rPr>
          <w:sz w:val="24"/>
          <w:szCs w:val="24"/>
        </w:rPr>
        <w:t xml:space="preserve">Київ              </w:t>
      </w:r>
      <w:r w:rsidR="00305F33" w:rsidRPr="004B728D">
        <w:rPr>
          <w:sz w:val="24"/>
          <w:szCs w:val="24"/>
        </w:rPr>
        <w:t xml:space="preserve">    </w:t>
      </w:r>
      <w:r w:rsidR="00C6660C" w:rsidRPr="004B728D">
        <w:rPr>
          <w:sz w:val="24"/>
          <w:szCs w:val="24"/>
        </w:rPr>
        <w:t xml:space="preserve">                  </w:t>
      </w:r>
      <w:r w:rsidR="00235914" w:rsidRPr="004B728D">
        <w:rPr>
          <w:sz w:val="24"/>
          <w:szCs w:val="24"/>
        </w:rPr>
        <w:t xml:space="preserve">    </w:t>
      </w:r>
      <w:r w:rsidR="00C6660C" w:rsidRPr="004B728D">
        <w:rPr>
          <w:sz w:val="24"/>
          <w:szCs w:val="24"/>
        </w:rPr>
        <w:t xml:space="preserve">                   </w:t>
      </w:r>
      <w:r w:rsidRPr="004B728D">
        <w:rPr>
          <w:sz w:val="24"/>
          <w:szCs w:val="24"/>
        </w:rPr>
        <w:t xml:space="preserve">       </w:t>
      </w:r>
      <w:r w:rsidR="006C01A2" w:rsidRPr="004B728D">
        <w:rPr>
          <w:sz w:val="24"/>
          <w:szCs w:val="24"/>
        </w:rPr>
        <w:t xml:space="preserve"> </w:t>
      </w:r>
      <w:r w:rsidR="00C6660C" w:rsidRPr="004B728D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733F2B">
        <w:rPr>
          <w:sz w:val="24"/>
          <w:szCs w:val="24"/>
        </w:rPr>
        <w:t>712-р</w:t>
      </w:r>
      <w:r w:rsidR="0058178B" w:rsidRPr="00142E8B">
        <w:rPr>
          <w:sz w:val="24"/>
          <w:szCs w:val="24"/>
          <w:lang w:val="ru-RU"/>
        </w:rPr>
        <w:t xml:space="preserve"> </w:t>
      </w:r>
      <w:r w:rsidR="0058178B">
        <w:rPr>
          <w:sz w:val="24"/>
          <w:szCs w:val="24"/>
          <w:lang w:val="ru-RU"/>
        </w:rPr>
        <w:t xml:space="preserve"> </w:t>
      </w:r>
      <w:r w:rsidR="006A7479">
        <w:rPr>
          <w:sz w:val="24"/>
          <w:szCs w:val="24"/>
          <w:lang w:val="ru-RU"/>
        </w:rPr>
        <w:t xml:space="preserve">   </w:t>
      </w:r>
      <w:r w:rsidR="0058178B">
        <w:rPr>
          <w:sz w:val="24"/>
          <w:szCs w:val="24"/>
          <w:lang w:val="ru-RU"/>
        </w:rPr>
        <w:t xml:space="preserve">   </w:t>
      </w:r>
    </w:p>
    <w:p w:rsidR="00F90E6B" w:rsidRPr="00211F19" w:rsidRDefault="00F90E6B">
      <w:pPr>
        <w:rPr>
          <w:sz w:val="24"/>
          <w:szCs w:val="24"/>
        </w:rPr>
      </w:pP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Про порушення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законодавства про захист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економічної конкуренції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та накладення штрафу </w:t>
      </w:r>
    </w:p>
    <w:p w:rsidR="003D4460" w:rsidRPr="00C950CD" w:rsidRDefault="003D4460">
      <w:pPr>
        <w:jc w:val="both"/>
        <w:rPr>
          <w:sz w:val="16"/>
          <w:szCs w:val="16"/>
        </w:rPr>
      </w:pPr>
    </w:p>
    <w:p w:rsidR="00396490" w:rsidRPr="00211F19" w:rsidRDefault="0094773B" w:rsidP="00DB24ED">
      <w:pPr>
        <w:pStyle w:val="a7"/>
        <w:textAlignment w:val="baseline"/>
        <w:rPr>
          <w:spacing w:val="-2"/>
          <w:szCs w:val="24"/>
        </w:rPr>
      </w:pPr>
      <w:r w:rsidRPr="00211F19">
        <w:rPr>
          <w:spacing w:val="-2"/>
          <w:szCs w:val="24"/>
        </w:rPr>
        <w:t xml:space="preserve">Антимонопольний комітет України, розглянувши </w:t>
      </w:r>
      <w:r w:rsidR="00C17D8E" w:rsidRPr="00211F19">
        <w:rPr>
          <w:spacing w:val="-2"/>
          <w:szCs w:val="24"/>
        </w:rPr>
        <w:t xml:space="preserve">подання </w:t>
      </w:r>
      <w:r w:rsidR="00711743" w:rsidRPr="00211F19">
        <w:rPr>
          <w:spacing w:val="-2"/>
          <w:szCs w:val="24"/>
        </w:rPr>
        <w:t>Департаменту</w:t>
      </w:r>
      <w:r w:rsidR="00B20ACA" w:rsidRPr="00211F19">
        <w:rPr>
          <w:spacing w:val="-2"/>
          <w:szCs w:val="24"/>
        </w:rPr>
        <w:t xml:space="preserve"> </w:t>
      </w:r>
      <w:r w:rsidR="00BE7B77" w:rsidRPr="00211F19">
        <w:rPr>
          <w:szCs w:val="24"/>
        </w:rPr>
        <w:t>досліджень і розслідувань ринків виробничої сфери, фармацевтики та рітейлу</w:t>
      </w:r>
      <w:r w:rsidR="00C17D8E" w:rsidRPr="00211F19">
        <w:rPr>
          <w:spacing w:val="-2"/>
          <w:szCs w:val="24"/>
        </w:rPr>
        <w:t xml:space="preserve"> від</w:t>
      </w:r>
      <w:r w:rsidR="00C50D58" w:rsidRPr="00211F19">
        <w:rPr>
          <w:spacing w:val="-2"/>
          <w:szCs w:val="24"/>
        </w:rPr>
        <w:t xml:space="preserve"> </w:t>
      </w:r>
      <w:r w:rsidR="00B365EE">
        <w:t>16.08</w:t>
      </w:r>
      <w:r w:rsidR="00BD2AF6">
        <w:t xml:space="preserve">.2021                                       </w:t>
      </w:r>
      <w:r w:rsidR="00BD2AF6" w:rsidRPr="003A396E">
        <w:t xml:space="preserve">№ </w:t>
      </w:r>
      <w:r w:rsidR="00BD2AF6">
        <w:t>126-26.13/</w:t>
      </w:r>
      <w:r w:rsidR="00B365EE">
        <w:t>72-</w:t>
      </w:r>
      <w:r w:rsidR="00BD2AF6">
        <w:t>21/</w:t>
      </w:r>
      <w:r w:rsidR="00B365EE">
        <w:t>371</w:t>
      </w:r>
      <w:r w:rsidR="00BD2AF6">
        <w:t>-спр</w:t>
      </w:r>
      <w:r w:rsidR="00B365EE">
        <w:t>/</w:t>
      </w:r>
      <w:proofErr w:type="spellStart"/>
      <w:r w:rsidR="00B365EE">
        <w:t>кі</w:t>
      </w:r>
      <w:proofErr w:type="spellEnd"/>
      <w:r w:rsidR="00C50D58" w:rsidRPr="00211F19">
        <w:rPr>
          <w:spacing w:val="-2"/>
          <w:szCs w:val="24"/>
        </w:rPr>
        <w:t xml:space="preserve"> </w:t>
      </w:r>
      <w:r w:rsidR="00B20ACA" w:rsidRPr="00211F19">
        <w:rPr>
          <w:spacing w:val="-2"/>
          <w:szCs w:val="24"/>
        </w:rPr>
        <w:t xml:space="preserve">з попередніми висновками у справі </w:t>
      </w:r>
      <w:r w:rsidR="00C12EB6" w:rsidRPr="00211F19">
        <w:rPr>
          <w:szCs w:val="24"/>
        </w:rPr>
        <w:t xml:space="preserve">№ </w:t>
      </w:r>
      <w:r w:rsidR="00B365EE" w:rsidRPr="006D2AF5">
        <w:t>126-26.13/</w:t>
      </w:r>
      <w:r w:rsidR="00B365EE">
        <w:t>72-21</w:t>
      </w:r>
      <w:r w:rsidR="00C53E5A" w:rsidRPr="00211F19">
        <w:rPr>
          <w:szCs w:val="24"/>
        </w:rPr>
        <w:t>,</w:t>
      </w:r>
      <w:r w:rsidR="00B20ACA" w:rsidRPr="00211F19">
        <w:rPr>
          <w:spacing w:val="-2"/>
          <w:szCs w:val="24"/>
        </w:rPr>
        <w:t xml:space="preserve"> </w:t>
      </w:r>
    </w:p>
    <w:p w:rsidR="0094773B" w:rsidRPr="00211F19" w:rsidRDefault="0094773B" w:rsidP="00C950CD">
      <w:pPr>
        <w:pStyle w:val="1"/>
        <w:numPr>
          <w:ilvl w:val="0"/>
          <w:numId w:val="0"/>
        </w:numPr>
        <w:spacing w:before="360"/>
        <w:rPr>
          <w:sz w:val="24"/>
          <w:szCs w:val="24"/>
        </w:rPr>
      </w:pPr>
      <w:r w:rsidRPr="00211F19">
        <w:rPr>
          <w:sz w:val="24"/>
          <w:szCs w:val="24"/>
        </w:rPr>
        <w:t>ВСТАНОВИВ:</w:t>
      </w:r>
    </w:p>
    <w:p w:rsidR="00FB546B" w:rsidRPr="00BB2B4D" w:rsidRDefault="007B38A7" w:rsidP="003C2F71">
      <w:pPr>
        <w:pStyle w:val="1"/>
        <w:spacing w:after="240"/>
        <w:ind w:left="709" w:hanging="709"/>
        <w:jc w:val="left"/>
        <w:rPr>
          <w:sz w:val="24"/>
          <w:szCs w:val="24"/>
        </w:rPr>
      </w:pPr>
      <w:r w:rsidRPr="00BB2B4D">
        <w:rPr>
          <w:sz w:val="24"/>
          <w:szCs w:val="24"/>
        </w:rPr>
        <w:t>Предмет справи</w:t>
      </w:r>
    </w:p>
    <w:p w:rsidR="00EC6398" w:rsidRPr="00BB2B4D" w:rsidRDefault="00EC6398" w:rsidP="00EC6398">
      <w:pPr>
        <w:pStyle w:val="211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BB2B4D">
        <w:t xml:space="preserve">Вчинення </w:t>
      </w:r>
      <w:r w:rsidRPr="00BB2B4D">
        <w:rPr>
          <w:szCs w:val="24"/>
        </w:rPr>
        <w:t xml:space="preserve">компанією </w:t>
      </w:r>
      <w:r w:rsidRPr="00BB2B4D">
        <w:rPr>
          <w:color w:val="0D0D0D"/>
          <w:szCs w:val="24"/>
        </w:rPr>
        <w:t>«</w:t>
      </w:r>
      <w:hyperlink r:id="rId9" w:tgtFrame="_blank" w:history="1">
        <w:r w:rsidRPr="00BB2B4D">
          <w:rPr>
            <w:rStyle w:val="af6"/>
            <w:color w:val="0D0D0D"/>
            <w:szCs w:val="24"/>
            <w:u w:val="none"/>
          </w:rPr>
          <w:t>Special Packaging Solutions Investments S.à r.l.» </w:t>
        </w:r>
      </w:hyperlink>
      <w:r w:rsidRPr="00BB2B4D">
        <w:rPr>
          <w:szCs w:val="24"/>
        </w:rPr>
        <w:t xml:space="preserve"> (м. Люксембург, Велике Герцогство Люксембург</w:t>
      </w:r>
      <w:r w:rsidRPr="00BB2B4D">
        <w:rPr>
          <w:rFonts w:eastAsia="Arial Unicode MS"/>
          <w:spacing w:val="-2"/>
          <w:szCs w:val="24"/>
        </w:rPr>
        <w:t>)</w:t>
      </w:r>
      <w:r w:rsidRPr="00BB2B4D">
        <w:rPr>
          <w:szCs w:val="24"/>
        </w:rPr>
        <w:t xml:space="preserve"> порушення, передбаченого пунктом 12 статті 50 Закону України «Про захист економічної конкуренції», у вигляді здійснення концентрації шляхом  придбання акцій компанії 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 (м. </w:t>
      </w:r>
      <w:proofErr w:type="spellStart"/>
      <w:r w:rsidRPr="00BB2B4D">
        <w:rPr>
          <w:szCs w:val="24"/>
        </w:rPr>
        <w:t>Спінетта</w:t>
      </w:r>
      <w:proofErr w:type="spellEnd"/>
      <w:r w:rsidRPr="00BB2B4D">
        <w:rPr>
          <w:szCs w:val="24"/>
        </w:rPr>
        <w:t xml:space="preserve"> Маренго, Італія), що забезпечує перевищення 25</w:t>
      </w:r>
      <w:r w:rsidR="00542DE8">
        <w:rPr>
          <w:szCs w:val="24"/>
        </w:rPr>
        <w:t> </w:t>
      </w:r>
      <w:r w:rsidRPr="00BB2B4D">
        <w:rPr>
          <w:szCs w:val="24"/>
        </w:rPr>
        <w:t>%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:rsidR="00653799" w:rsidRPr="00BB2B4D" w:rsidRDefault="00653799" w:rsidP="00653799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BB2B4D">
        <w:rPr>
          <w:sz w:val="24"/>
          <w:szCs w:val="24"/>
        </w:rPr>
        <w:t>ВІДПОВІДАЧ</w:t>
      </w:r>
    </w:p>
    <w:p w:rsidR="00EC6398" w:rsidRPr="00BB2B4D" w:rsidRDefault="00EC6398" w:rsidP="00EC6398">
      <w:pPr>
        <w:pStyle w:val="211"/>
        <w:numPr>
          <w:ilvl w:val="1"/>
          <w:numId w:val="23"/>
        </w:numPr>
        <w:ind w:left="709" w:hanging="709"/>
        <w:textAlignment w:val="baseline"/>
      </w:pPr>
      <w:r w:rsidRPr="00BB2B4D">
        <w:rPr>
          <w:szCs w:val="24"/>
        </w:rPr>
        <w:t xml:space="preserve">Компанія </w:t>
      </w:r>
      <w:r w:rsidRPr="00BB2B4D">
        <w:rPr>
          <w:color w:val="0D0D0D"/>
          <w:szCs w:val="24"/>
        </w:rPr>
        <w:t>«</w:t>
      </w:r>
      <w:hyperlink r:id="rId10" w:tgtFrame="_blank" w:history="1">
        <w:r w:rsidRPr="00BB2B4D">
          <w:rPr>
            <w:rStyle w:val="af6"/>
            <w:color w:val="0D0D0D"/>
            <w:szCs w:val="24"/>
            <w:u w:val="none"/>
          </w:rPr>
          <w:t>Special Packaging Solutions Investments S.à r.l.»</w:t>
        </w:r>
        <w:r w:rsidR="002A6C79">
          <w:rPr>
            <w:rStyle w:val="af6"/>
            <w:color w:val="0D0D0D"/>
            <w:szCs w:val="24"/>
            <w:u w:val="none"/>
          </w:rPr>
          <w:t>,</w:t>
        </w:r>
        <w:r w:rsidRPr="00BB2B4D">
          <w:rPr>
            <w:rStyle w:val="af6"/>
            <w:color w:val="0D0D0D"/>
            <w:szCs w:val="24"/>
            <w:u w:val="none"/>
          </w:rPr>
          <w:t> </w:t>
        </w:r>
      </w:hyperlink>
      <w:r w:rsidRPr="00BB2B4D">
        <w:rPr>
          <w:szCs w:val="24"/>
        </w:rPr>
        <w:t xml:space="preserve"> </w:t>
      </w:r>
      <w:r w:rsidRPr="00BB2B4D">
        <w:t xml:space="preserve">яка знаходиться за адресою: Авеню </w:t>
      </w:r>
      <w:proofErr w:type="spellStart"/>
      <w:r w:rsidRPr="00BB2B4D">
        <w:t>Монтерей</w:t>
      </w:r>
      <w:proofErr w:type="spellEnd"/>
      <w:r w:rsidRPr="00BB2B4D">
        <w:t xml:space="preserve">, 23, </w:t>
      </w:r>
      <w:r w:rsidRPr="00BB2B4D">
        <w:rPr>
          <w:lang w:val="en-US"/>
        </w:rPr>
        <w:t>L</w:t>
      </w:r>
      <w:r w:rsidRPr="002A6C79">
        <w:rPr>
          <w:lang w:val="ru-RU"/>
        </w:rPr>
        <w:t>-2163</w:t>
      </w:r>
      <w:r w:rsidRPr="00BB2B4D">
        <w:t xml:space="preserve">, </w:t>
      </w:r>
      <w:r w:rsidRPr="00BB2B4D">
        <w:rPr>
          <w:szCs w:val="24"/>
        </w:rPr>
        <w:t>м. Люксембург, Велике Герцогство Люксембург</w:t>
      </w:r>
      <w:r w:rsidRPr="00BB2B4D">
        <w:rPr>
          <w:rFonts w:eastAsia="Arial Unicode MS"/>
          <w:spacing w:val="-2"/>
          <w:szCs w:val="24"/>
        </w:rPr>
        <w:t xml:space="preserve"> (далі – Відповідач).</w:t>
      </w:r>
    </w:p>
    <w:p w:rsidR="00FB546B" w:rsidRPr="00BB2B4D" w:rsidRDefault="003C5EFB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ПРОЦЕСУАЛЬНІ ДІЇ</w:t>
      </w:r>
    </w:p>
    <w:p w:rsidR="00BB2B4D" w:rsidRPr="00BB2B4D" w:rsidRDefault="00EC6398" w:rsidP="00BB2B4D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BB2B4D">
        <w:rPr>
          <w:szCs w:val="24"/>
        </w:rPr>
        <w:t xml:space="preserve">Розпорядженням державного уповноваженого Антимонопольного комітету України від 09 червня 2021 року № 06/144-р розпочато розгляд справи № </w:t>
      </w:r>
      <w:r w:rsidRPr="00BB2B4D">
        <w:t xml:space="preserve">126-26.13/72-21 </w:t>
      </w:r>
      <w:r w:rsidRPr="00BB2B4D">
        <w:rPr>
          <w:szCs w:val="24"/>
        </w:rPr>
        <w:t>про порушення законодавства про захист економічної конкуренції та приєднано</w:t>
      </w:r>
      <w:r w:rsidR="004F5EA2">
        <w:rPr>
          <w:szCs w:val="24"/>
        </w:rPr>
        <w:t xml:space="preserve"> </w:t>
      </w:r>
      <w:r w:rsidRPr="00BB2B4D">
        <w:rPr>
          <w:szCs w:val="24"/>
        </w:rPr>
        <w:t xml:space="preserve">заяву уповноваженого представника </w:t>
      </w:r>
      <w:r w:rsidRPr="00BB2B4D">
        <w:t xml:space="preserve">компаній </w:t>
      </w:r>
      <w:r w:rsidRPr="00BB2B4D">
        <w:rPr>
          <w:color w:val="0D0D0D"/>
          <w:szCs w:val="24"/>
        </w:rPr>
        <w:t>«</w:t>
      </w:r>
      <w:hyperlink r:id="rId11" w:tgtFrame="_blank" w:history="1">
        <w:r w:rsidRPr="00BB2B4D">
          <w:rPr>
            <w:rStyle w:val="af6"/>
            <w:color w:val="0D0D0D"/>
            <w:szCs w:val="24"/>
            <w:u w:val="none"/>
          </w:rPr>
          <w:t>Special Packaging Solutions Investments S.à r.l.» </w:t>
        </w:r>
      </w:hyperlink>
      <w:r w:rsidRPr="00BB2B4D">
        <w:t xml:space="preserve"> та </w:t>
      </w:r>
      <w:r w:rsidRPr="00BB2B4D">
        <w:rPr>
          <w:szCs w:val="24"/>
        </w:rPr>
        <w:t xml:space="preserve">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 </w:t>
      </w:r>
      <w:r w:rsidRPr="00BB2B4D">
        <w:t xml:space="preserve">про надання дозволу на концентрацію від 30 квітня 2021 року </w:t>
      </w:r>
      <w:proofErr w:type="spellStart"/>
      <w:r w:rsidRPr="00BB2B4D">
        <w:t>вих</w:t>
      </w:r>
      <w:proofErr w:type="spellEnd"/>
      <w:r w:rsidRPr="00BB2B4D">
        <w:t>. № 1313 (зареєстрована в Комітеті 05.05.2021 за № 15-01/325-ЕКк)</w:t>
      </w:r>
      <w:r w:rsidRPr="00BB2B4D">
        <w:rPr>
          <w:szCs w:val="24"/>
        </w:rPr>
        <w:t xml:space="preserve"> до матеріалів справи.</w:t>
      </w:r>
    </w:p>
    <w:p w:rsidR="00865C3A" w:rsidRPr="00AC62D9" w:rsidRDefault="00EC6398" w:rsidP="00AC62D9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BB2B4D">
        <w:rPr>
          <w:szCs w:val="24"/>
        </w:rPr>
        <w:t xml:space="preserve">Листом Антимонопольного комітету України від 10.06.2021 № 126-26.13/06-8845         було повідомлено уповноважених представників </w:t>
      </w:r>
      <w:r w:rsidRPr="00BB2B4D">
        <w:t xml:space="preserve">компаній </w:t>
      </w:r>
      <w:r w:rsidRPr="00BB2B4D">
        <w:rPr>
          <w:color w:val="0D0D0D"/>
          <w:szCs w:val="24"/>
        </w:rPr>
        <w:t>«</w:t>
      </w:r>
      <w:hyperlink r:id="rId12" w:tgtFrame="_blank" w:history="1">
        <w:r w:rsidRPr="00BB2B4D">
          <w:rPr>
            <w:rStyle w:val="af6"/>
            <w:color w:val="0D0D0D"/>
            <w:szCs w:val="24"/>
            <w:u w:val="none"/>
          </w:rPr>
          <w:t>Special Packaging Solutions Investments S.à r.l.» </w:t>
        </w:r>
      </w:hyperlink>
      <w:r w:rsidRPr="00BB2B4D">
        <w:t xml:space="preserve"> та </w:t>
      </w:r>
      <w:r w:rsidRPr="00BB2B4D">
        <w:rPr>
          <w:szCs w:val="24"/>
        </w:rPr>
        <w:t xml:space="preserve">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 </w:t>
      </w:r>
      <w:r w:rsidRPr="00BB2B4D">
        <w:t xml:space="preserve"> </w:t>
      </w:r>
      <w:r w:rsidRPr="00BB2B4D">
        <w:rPr>
          <w:szCs w:val="24"/>
        </w:rPr>
        <w:t>про початок розгляду зазначеної вище справи про порушення законодавства про захист економічної конкуренції та запропоновано надати інформацію, необхідну для її розгляду.</w:t>
      </w:r>
    </w:p>
    <w:p w:rsidR="00B36219" w:rsidRPr="00BB2B4D" w:rsidRDefault="00B36219" w:rsidP="006C61C5">
      <w:pPr>
        <w:pStyle w:val="211"/>
        <w:numPr>
          <w:ilvl w:val="1"/>
          <w:numId w:val="23"/>
        </w:numPr>
        <w:ind w:left="709" w:hanging="709"/>
        <w:textAlignment w:val="baseline"/>
      </w:pPr>
      <w:r w:rsidRPr="00BB2B4D">
        <w:lastRenderedPageBreak/>
        <w:t xml:space="preserve">За результатами збирання та аналізу доказів у справі </w:t>
      </w:r>
      <w:r w:rsidR="002811EE" w:rsidRPr="00BB2B4D">
        <w:t xml:space="preserve">№ </w:t>
      </w:r>
      <w:r w:rsidR="00FA3A7D" w:rsidRPr="00BB2B4D">
        <w:t>126-26.13/72-21</w:t>
      </w:r>
      <w:r w:rsidR="00C97F0B" w:rsidRPr="00BB2B4D">
        <w:t xml:space="preserve">                            </w:t>
      </w:r>
      <w:r w:rsidR="00120C5D" w:rsidRPr="00BB2B4D">
        <w:t xml:space="preserve"> </w:t>
      </w:r>
      <w:r w:rsidRPr="00BB2B4D">
        <w:t xml:space="preserve">було складено подання з попередніми висновками від </w:t>
      </w:r>
      <w:r w:rsidR="00FA3A7D" w:rsidRPr="00BB2B4D">
        <w:t xml:space="preserve">16.08.2021                                      </w:t>
      </w:r>
      <w:r w:rsidR="008F1D8E">
        <w:t xml:space="preserve">                  </w:t>
      </w:r>
      <w:bookmarkStart w:id="0" w:name="_GoBack"/>
      <w:bookmarkEnd w:id="0"/>
      <w:r w:rsidR="00FA3A7D" w:rsidRPr="00BB2B4D">
        <w:t xml:space="preserve"> № 126-26.13/72-21/371-спр/</w:t>
      </w:r>
      <w:proofErr w:type="spellStart"/>
      <w:r w:rsidR="00FA3A7D" w:rsidRPr="00BB2B4D">
        <w:t>кі</w:t>
      </w:r>
      <w:proofErr w:type="spellEnd"/>
      <w:r w:rsidR="00D44202" w:rsidRPr="00BB2B4D">
        <w:t xml:space="preserve"> </w:t>
      </w:r>
      <w:r w:rsidR="00542DE8">
        <w:t>та надіслано В</w:t>
      </w:r>
      <w:r w:rsidRPr="00BB2B4D">
        <w:t>ідповідач</w:t>
      </w:r>
      <w:r w:rsidR="001C15EE" w:rsidRPr="00BB2B4D">
        <w:t>у</w:t>
      </w:r>
      <w:r w:rsidRPr="00BB2B4D">
        <w:t xml:space="preserve"> листом </w:t>
      </w:r>
      <w:r w:rsidR="00120C5D" w:rsidRPr="00BB2B4D">
        <w:t xml:space="preserve"> </w:t>
      </w:r>
      <w:r w:rsidRPr="00BB2B4D">
        <w:t xml:space="preserve">від </w:t>
      </w:r>
      <w:r w:rsidR="00FA3A7D" w:rsidRPr="00BB2B4D">
        <w:t>17.08</w:t>
      </w:r>
      <w:r w:rsidR="00BD2AF6" w:rsidRPr="00BB2B4D">
        <w:t>.2021</w:t>
      </w:r>
      <w:r w:rsidR="000456EA" w:rsidRPr="00BB2B4D">
        <w:t xml:space="preserve">                           </w:t>
      </w:r>
      <w:r w:rsidR="001C5CA7" w:rsidRPr="00BB2B4D">
        <w:t xml:space="preserve"> </w:t>
      </w:r>
      <w:r w:rsidR="00D44202" w:rsidRPr="00BB2B4D">
        <w:t xml:space="preserve"> № </w:t>
      </w:r>
      <w:r w:rsidR="008E707A" w:rsidRPr="00BB2B4D">
        <w:t>126-26.13/0</w:t>
      </w:r>
      <w:r w:rsidR="00FA3A7D" w:rsidRPr="00BB2B4D">
        <w:t>6</w:t>
      </w:r>
      <w:r w:rsidR="008E707A" w:rsidRPr="00BB2B4D">
        <w:t>-</w:t>
      </w:r>
      <w:r w:rsidR="00FA3A7D" w:rsidRPr="00BB2B4D">
        <w:t xml:space="preserve">12160 </w:t>
      </w:r>
      <w:r w:rsidRPr="00BB2B4D">
        <w:t>для надання своїх міркувань і заперечень, викладених у поданні.</w:t>
      </w:r>
    </w:p>
    <w:p w:rsidR="002811EE" w:rsidRPr="00BB2B4D" w:rsidRDefault="002811EE" w:rsidP="002811EE">
      <w:pPr>
        <w:pStyle w:val="ae"/>
      </w:pPr>
    </w:p>
    <w:p w:rsidR="00BB2B4D" w:rsidRDefault="002811EE" w:rsidP="002E4101">
      <w:pPr>
        <w:pStyle w:val="211"/>
        <w:numPr>
          <w:ilvl w:val="1"/>
          <w:numId w:val="23"/>
        </w:numPr>
        <w:ind w:left="709" w:hanging="709"/>
        <w:textAlignment w:val="baseline"/>
      </w:pPr>
      <w:r w:rsidRPr="00EB5FED">
        <w:rPr>
          <w:szCs w:val="24"/>
        </w:rPr>
        <w:t xml:space="preserve">Уповноважений представник </w:t>
      </w:r>
      <w:r w:rsidRPr="00BB2B4D">
        <w:t xml:space="preserve">компанії </w:t>
      </w:r>
      <w:r w:rsidRPr="00EB5FED">
        <w:rPr>
          <w:color w:val="0D0D0D"/>
          <w:szCs w:val="24"/>
        </w:rPr>
        <w:t>«</w:t>
      </w:r>
      <w:hyperlink r:id="rId13" w:tgtFrame="_blank" w:history="1">
        <w:r w:rsidRPr="00EB5FED">
          <w:rPr>
            <w:rStyle w:val="af6"/>
            <w:color w:val="0D0D0D"/>
            <w:szCs w:val="24"/>
            <w:u w:val="none"/>
          </w:rPr>
          <w:t>Special Packaging Solutions Investments S.à r.l.»</w:t>
        </w:r>
      </w:hyperlink>
      <w:r w:rsidRPr="00BB2B4D">
        <w:t xml:space="preserve"> листом від 06 вересня 2021 року № 1152-4 (зареєстрованим у Комітеті 09.09.2021 за  № 8-06/1341-кі) </w:t>
      </w:r>
      <w:r w:rsidR="00541EE8">
        <w:t>надав</w:t>
      </w:r>
      <w:r w:rsidR="00BB2B4D" w:rsidRPr="00BB2B4D">
        <w:t xml:space="preserve"> коментарі до Подання з попередніми висновками</w:t>
      </w:r>
      <w:r w:rsidR="00EB5FED">
        <w:t>.</w:t>
      </w:r>
      <w:r w:rsidR="00BB2B4D" w:rsidRPr="00BB2B4D">
        <w:t xml:space="preserve"> </w:t>
      </w:r>
    </w:p>
    <w:p w:rsidR="00EB5FED" w:rsidRPr="00BB2B4D" w:rsidRDefault="00EB5FED" w:rsidP="00EB5FED">
      <w:pPr>
        <w:pStyle w:val="211"/>
        <w:ind w:left="709" w:firstLine="0"/>
        <w:textAlignment w:val="baseline"/>
      </w:pPr>
    </w:p>
    <w:p w:rsidR="007517AE" w:rsidRPr="00BB2B4D" w:rsidRDefault="003C5EFB" w:rsidP="007517AE">
      <w:pPr>
        <w:pStyle w:val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ОБСТАВИНИ СПРАВИ</w:t>
      </w:r>
    </w:p>
    <w:p w:rsidR="004D7A66" w:rsidRPr="00BB2B4D" w:rsidRDefault="0060513F" w:rsidP="004D7A66">
      <w:pPr>
        <w:pStyle w:val="2"/>
        <w:numPr>
          <w:ilvl w:val="1"/>
          <w:numId w:val="16"/>
        </w:numPr>
        <w:ind w:left="709" w:firstLine="0"/>
        <w:jc w:val="both"/>
        <w:rPr>
          <w:b/>
          <w:szCs w:val="24"/>
        </w:rPr>
      </w:pPr>
      <w:r w:rsidRPr="00BB2B4D">
        <w:rPr>
          <w:b/>
          <w:szCs w:val="24"/>
        </w:rPr>
        <w:t>Підстави відкриття справи про порушення законодавства про захист економічної конкуренції</w:t>
      </w:r>
    </w:p>
    <w:p w:rsidR="00D84C37" w:rsidRPr="00BB2B4D" w:rsidRDefault="00D84C37" w:rsidP="00BB2B4D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BB2B4D">
        <w:rPr>
          <w:szCs w:val="24"/>
        </w:rPr>
        <w:t xml:space="preserve">За інформацією, наданою Антимонопольному комітету України уповноваженим представником </w:t>
      </w:r>
      <w:r w:rsidRPr="00BB2B4D">
        <w:t xml:space="preserve">компанії </w:t>
      </w:r>
      <w:r w:rsidRPr="00BB2B4D">
        <w:rPr>
          <w:color w:val="0D0D0D"/>
          <w:szCs w:val="24"/>
        </w:rPr>
        <w:t>«</w:t>
      </w:r>
      <w:hyperlink r:id="rId14" w:tgtFrame="_blank" w:history="1">
        <w:r w:rsidRPr="00BB2B4D">
          <w:rPr>
            <w:rStyle w:val="af6"/>
            <w:color w:val="0D0D0D"/>
            <w:szCs w:val="24"/>
            <w:u w:val="none"/>
          </w:rPr>
          <w:t>Special Packaging Solutions Investments S.à r.l.»</w:t>
        </w:r>
      </w:hyperlink>
      <w:r w:rsidRPr="00BB2B4D">
        <w:rPr>
          <w:szCs w:val="24"/>
        </w:rPr>
        <w:t xml:space="preserve">,  концентрація полягала в придбанні </w:t>
      </w:r>
      <w:r w:rsidRPr="00BB2B4D">
        <w:t xml:space="preserve">компанією </w:t>
      </w:r>
      <w:r w:rsidRPr="00BB2B4D">
        <w:rPr>
          <w:color w:val="0D0D0D"/>
          <w:szCs w:val="24"/>
        </w:rPr>
        <w:t>«</w:t>
      </w:r>
      <w:hyperlink r:id="rId15" w:tgtFrame="_blank" w:history="1">
        <w:r w:rsidRPr="00BB2B4D">
          <w:rPr>
            <w:rStyle w:val="af6"/>
            <w:color w:val="0D0D0D"/>
            <w:szCs w:val="24"/>
            <w:u w:val="none"/>
          </w:rPr>
          <w:t>Special Packaging Solutions Investments S.à r.l.»</w:t>
        </w:r>
      </w:hyperlink>
      <w:r w:rsidRPr="00BB2B4D">
        <w:rPr>
          <w:rStyle w:val="af6"/>
          <w:color w:val="0D0D0D"/>
          <w:szCs w:val="24"/>
          <w:u w:val="none"/>
        </w:rPr>
        <w:t xml:space="preserve"> </w:t>
      </w:r>
      <w:r w:rsidRPr="00BB2B4D">
        <w:rPr>
          <w:szCs w:val="24"/>
        </w:rPr>
        <w:t xml:space="preserve">акцій компанії 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S.p.A.», що забезпечило перевищення 25</w:t>
      </w:r>
      <w:r w:rsidR="00542DE8">
        <w:rPr>
          <w:szCs w:val="24"/>
        </w:rPr>
        <w:t> </w:t>
      </w:r>
      <w:r w:rsidRPr="00BB2B4D">
        <w:rPr>
          <w:szCs w:val="24"/>
        </w:rPr>
        <w:t>% голосів у вищому органі управління компанії.</w:t>
      </w:r>
    </w:p>
    <w:p w:rsidR="00BB2B4D" w:rsidRPr="00BB2B4D" w:rsidRDefault="00D84C37" w:rsidP="00BB2B4D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BB2B4D">
        <w:t xml:space="preserve">Зазначене придбання було здійснено 11 грудня 2020 року на підставі договорів купівлі-продажу акцій компанії «Guala </w:t>
      </w:r>
      <w:proofErr w:type="spellStart"/>
      <w:r w:rsidRPr="00BB2B4D">
        <w:t>Closures</w:t>
      </w:r>
      <w:proofErr w:type="spellEnd"/>
      <w:r w:rsidRPr="00BB2B4D">
        <w:t xml:space="preserve"> S.p.A.», укладених між компанією </w:t>
      </w:r>
      <w:r w:rsidRPr="00BB2B4D">
        <w:rPr>
          <w:color w:val="0D0D0D"/>
        </w:rPr>
        <w:t>«</w:t>
      </w:r>
      <w:hyperlink r:id="rId16" w:tgtFrame="_blank" w:history="1">
        <w:r w:rsidRPr="00BB2B4D">
          <w:rPr>
            <w:rStyle w:val="af6"/>
            <w:color w:val="0D0D0D"/>
            <w:u w:val="none"/>
          </w:rPr>
          <w:t>Special Packaging Solutions Investments S.à r.l.»</w:t>
        </w:r>
      </w:hyperlink>
      <w:r w:rsidRPr="00BB2B4D">
        <w:rPr>
          <w:rStyle w:val="af6"/>
          <w:color w:val="0D0D0D"/>
          <w:u w:val="none"/>
        </w:rPr>
        <w:t xml:space="preserve"> та продавцями</w:t>
      </w:r>
      <w:r w:rsidRPr="00BB2B4D">
        <w:t xml:space="preserve"> </w:t>
      </w:r>
      <w:r w:rsidR="004F29B5" w:rsidRPr="004F29B5">
        <w:t>[</w:t>
      </w:r>
      <w:r w:rsidR="004F29B5" w:rsidRPr="004F29B5">
        <w:rPr>
          <w:i/>
        </w:rPr>
        <w:t>інформація з обмеженим доступом</w:t>
      </w:r>
      <w:r w:rsidRPr="00BB2B4D">
        <w:t>]</w:t>
      </w:r>
      <w:r w:rsidR="00127EAA">
        <w:t>.</w:t>
      </w:r>
    </w:p>
    <w:p w:rsidR="00BB2B4D" w:rsidRDefault="00D84C37" w:rsidP="00BB2B4D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BB2B4D">
        <w:rPr>
          <w:szCs w:val="24"/>
        </w:rPr>
        <w:t xml:space="preserve">Відповідно до пункту 4 частини другої статті 22 Закону України «Про захист економічної конкуренції» </w:t>
      </w:r>
      <w:r w:rsidR="00127EAA">
        <w:rPr>
          <w:szCs w:val="24"/>
        </w:rPr>
        <w:t xml:space="preserve">(далі – Закон) </w:t>
      </w:r>
      <w:r w:rsidRPr="00BB2B4D">
        <w:rPr>
          <w:szCs w:val="24"/>
        </w:rPr>
        <w:t>концентрацією визнається, зокрема, безпосереднє або опосередковане придбання, набуття у власність іншим способом 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127EAA" w:rsidRDefault="00127EAA" w:rsidP="00BB2B4D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>
        <w:rPr>
          <w:szCs w:val="24"/>
        </w:rPr>
        <w:t>Тобто</w:t>
      </w:r>
      <w:r w:rsidR="00542DE8">
        <w:rPr>
          <w:szCs w:val="24"/>
        </w:rPr>
        <w:t>,</w:t>
      </w:r>
      <w:r>
        <w:rPr>
          <w:szCs w:val="24"/>
        </w:rPr>
        <w:t xml:space="preserve"> дії </w:t>
      </w:r>
      <w:r w:rsidRPr="00BB2B4D">
        <w:rPr>
          <w:szCs w:val="24"/>
        </w:rPr>
        <w:t xml:space="preserve">компанії </w:t>
      </w:r>
      <w:r w:rsidRPr="00BB2B4D">
        <w:rPr>
          <w:color w:val="0D0D0D"/>
          <w:szCs w:val="24"/>
        </w:rPr>
        <w:t>«</w:t>
      </w:r>
      <w:hyperlink r:id="rId17" w:tgtFrame="_blank" w:history="1">
        <w:r w:rsidRPr="00BB2B4D">
          <w:rPr>
            <w:rStyle w:val="af6"/>
            <w:color w:val="0D0D0D"/>
            <w:szCs w:val="24"/>
            <w:u w:val="none"/>
          </w:rPr>
          <w:t>Special Packaging Solutions Investments S.à r.l.»</w:t>
        </w:r>
      </w:hyperlink>
      <w:r>
        <w:rPr>
          <w:rStyle w:val="af6"/>
          <w:color w:val="0D0D0D"/>
          <w:szCs w:val="24"/>
          <w:u w:val="none"/>
        </w:rPr>
        <w:t xml:space="preserve"> у вигляді </w:t>
      </w:r>
      <w:r w:rsidRPr="00BB2B4D">
        <w:rPr>
          <w:szCs w:val="24"/>
        </w:rPr>
        <w:t xml:space="preserve">придбання акцій компанії 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S.p.A.», що забезпечує перевищення 25</w:t>
      </w:r>
      <w:r w:rsidR="00542DE8">
        <w:rPr>
          <w:szCs w:val="24"/>
        </w:rPr>
        <w:t> </w:t>
      </w:r>
      <w:r w:rsidRPr="00BB2B4D">
        <w:rPr>
          <w:szCs w:val="24"/>
        </w:rPr>
        <w:t>% голосів у вищому органі управління компанії</w:t>
      </w:r>
      <w:r>
        <w:rPr>
          <w:szCs w:val="24"/>
        </w:rPr>
        <w:t>, відповідно до статті 22 Закону визна</w:t>
      </w:r>
      <w:r w:rsidR="00A32E19">
        <w:rPr>
          <w:szCs w:val="24"/>
        </w:rPr>
        <w:t>но</w:t>
      </w:r>
      <w:r>
        <w:rPr>
          <w:szCs w:val="24"/>
        </w:rPr>
        <w:t xml:space="preserve"> концентрацією.</w:t>
      </w:r>
    </w:p>
    <w:p w:rsidR="00BB2B4D" w:rsidRDefault="00D84C37" w:rsidP="00BB2B4D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BB2B4D">
        <w:rPr>
          <w:szCs w:val="24"/>
        </w:rPr>
        <w:t>За інформацією Відповідача, відповідні вартісні показники учасників концентрації за 2019 рік перевищували порогові значення, визначені частиною першою статті 24 Закону, тому зазначена концентрація потребувала попереднього отримання дозволу органів Антимонопольного комітету України.</w:t>
      </w:r>
    </w:p>
    <w:p w:rsidR="00BB2B4D" w:rsidRDefault="00D84C37" w:rsidP="00BB2B4D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BB2B4D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EB5FED" w:rsidRDefault="00D84C37" w:rsidP="00EB5FED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BB2B4D">
        <w:rPr>
          <w:szCs w:val="24"/>
        </w:rPr>
        <w:t xml:space="preserve">До Антимонопольного комітету України заява уповноваженого представника компанії </w:t>
      </w:r>
      <w:r w:rsidRPr="00BB2B4D">
        <w:rPr>
          <w:color w:val="0D0D0D"/>
          <w:szCs w:val="24"/>
        </w:rPr>
        <w:t>«</w:t>
      </w:r>
      <w:hyperlink r:id="rId18" w:tgtFrame="_blank" w:history="1">
        <w:r w:rsidRPr="00BB2B4D">
          <w:rPr>
            <w:rStyle w:val="af6"/>
            <w:color w:val="0D0D0D"/>
            <w:szCs w:val="24"/>
            <w:u w:val="none"/>
          </w:rPr>
          <w:t>Special Packaging Solutions Investments S.à r.l.»</w:t>
        </w:r>
      </w:hyperlink>
      <w:r w:rsidRPr="00BB2B4D">
        <w:rPr>
          <w:szCs w:val="24"/>
        </w:rPr>
        <w:t xml:space="preserve"> на придбання акцій компанії              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S.p.A.», що забезпечує перевищення 25</w:t>
      </w:r>
      <w:r w:rsidR="00542DE8">
        <w:rPr>
          <w:szCs w:val="24"/>
        </w:rPr>
        <w:t> </w:t>
      </w:r>
      <w:r w:rsidRPr="00BB2B4D">
        <w:rPr>
          <w:szCs w:val="24"/>
        </w:rPr>
        <w:t xml:space="preserve">% голосів у вищому органі управління компанії, надійшла </w:t>
      </w:r>
      <w:r w:rsidRPr="00BB2B4D">
        <w:t xml:space="preserve">05 травня 2021 </w:t>
      </w:r>
      <w:r w:rsidR="00542DE8">
        <w:t xml:space="preserve">року </w:t>
      </w:r>
      <w:r w:rsidRPr="00BB2B4D">
        <w:rPr>
          <w:szCs w:val="24"/>
        </w:rPr>
        <w:t xml:space="preserve">та була зареєстрована </w:t>
      </w:r>
      <w:r w:rsidRPr="00BB2B4D">
        <w:t>за                           № 15-01/325-ЕКк</w:t>
      </w:r>
      <w:r w:rsidRPr="00BB2B4D">
        <w:rPr>
          <w:szCs w:val="24"/>
        </w:rPr>
        <w:t>, тобто після здійснення заявленої концентрації.</w:t>
      </w:r>
    </w:p>
    <w:p w:rsidR="00D84C37" w:rsidRPr="00EB5FED" w:rsidRDefault="00D84C37" w:rsidP="00EB5FED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EB5FED">
        <w:rPr>
          <w:szCs w:val="24"/>
        </w:rPr>
        <w:t xml:space="preserve">Отже, дії компанії </w:t>
      </w:r>
      <w:r w:rsidRPr="00EB5FED">
        <w:rPr>
          <w:color w:val="0D0D0D"/>
          <w:szCs w:val="24"/>
        </w:rPr>
        <w:t>«</w:t>
      </w:r>
      <w:hyperlink r:id="rId19" w:tgtFrame="_blank" w:history="1">
        <w:r w:rsidRPr="00EB5FED">
          <w:rPr>
            <w:rStyle w:val="af6"/>
            <w:color w:val="0D0D0D"/>
            <w:szCs w:val="24"/>
            <w:u w:val="none"/>
          </w:rPr>
          <w:t>Special Packaging Solutions Investments S.à r.l.»</w:t>
        </w:r>
      </w:hyperlink>
      <w:r w:rsidRPr="00EB5FED">
        <w:rPr>
          <w:szCs w:val="24"/>
        </w:rPr>
        <w:t xml:space="preserve">, які полягають у придбанні акцій компанії «Guala </w:t>
      </w:r>
      <w:proofErr w:type="spellStart"/>
      <w:r w:rsidRPr="00EB5FED">
        <w:rPr>
          <w:szCs w:val="24"/>
        </w:rPr>
        <w:t>Closures</w:t>
      </w:r>
      <w:proofErr w:type="spellEnd"/>
      <w:r w:rsidRPr="00EB5FED">
        <w:rPr>
          <w:szCs w:val="24"/>
        </w:rPr>
        <w:t xml:space="preserve"> S.p.A.», що забезпеч</w:t>
      </w:r>
      <w:r w:rsidR="00A32E19" w:rsidRPr="00EB5FED">
        <w:rPr>
          <w:szCs w:val="24"/>
        </w:rPr>
        <w:t>ує</w:t>
      </w:r>
      <w:r w:rsidRPr="00EB5FED">
        <w:rPr>
          <w:szCs w:val="24"/>
        </w:rPr>
        <w:t xml:space="preserve"> перевищення 25</w:t>
      </w:r>
      <w:r w:rsidR="00EB5FED">
        <w:rPr>
          <w:szCs w:val="24"/>
        </w:rPr>
        <w:t xml:space="preserve"> </w:t>
      </w:r>
      <w:r w:rsidRPr="00EB5FED">
        <w:rPr>
          <w:szCs w:val="24"/>
        </w:rPr>
        <w:t>% голосів у вищому органі управління компанії, без отримання відповідного дозволу органів Антимонопольного комітету України, є порушенням, передбаченим пунктом 12 статті 50 Закону.</w:t>
      </w:r>
    </w:p>
    <w:p w:rsidR="00D84C37" w:rsidRPr="00BB2B4D" w:rsidRDefault="00D84C37" w:rsidP="00D84C37">
      <w:pPr>
        <w:pStyle w:val="211"/>
        <w:ind w:left="709" w:hanging="709"/>
        <w:rPr>
          <w:szCs w:val="24"/>
          <w:highlight w:val="yellow"/>
        </w:rPr>
      </w:pPr>
    </w:p>
    <w:p w:rsidR="00B45103" w:rsidRPr="00BB2B4D" w:rsidRDefault="006210F8" w:rsidP="00B45103">
      <w:pPr>
        <w:pStyle w:val="211"/>
        <w:numPr>
          <w:ilvl w:val="1"/>
          <w:numId w:val="16"/>
        </w:numPr>
        <w:ind w:left="0" w:firstLine="0"/>
        <w:textAlignment w:val="baseline"/>
        <w:rPr>
          <w:b/>
          <w:szCs w:val="24"/>
        </w:rPr>
      </w:pPr>
      <w:r w:rsidRPr="00BB2B4D">
        <w:rPr>
          <w:b/>
          <w:szCs w:val="24"/>
        </w:rPr>
        <w:lastRenderedPageBreak/>
        <w:t>Відносини контролю учасників концентрації</w:t>
      </w:r>
    </w:p>
    <w:p w:rsidR="00FF3990" w:rsidRDefault="0045549B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BB2B4D">
        <w:rPr>
          <w:szCs w:val="24"/>
        </w:rPr>
        <w:t>За інформацією, наданою Антимонопольному комітету України уповноваженими представниками компанії «</w:t>
      </w:r>
      <w:hyperlink r:id="rId20" w:tgtFrame="_blank" w:history="1">
        <w:r w:rsidRPr="00541EE8">
          <w:rPr>
            <w:szCs w:val="24"/>
          </w:rPr>
          <w:t>Special Packaging Solutions Investments S.à r.l.»</w:t>
        </w:r>
      </w:hyperlink>
      <w:r w:rsidRPr="00BB2B4D">
        <w:rPr>
          <w:szCs w:val="24"/>
        </w:rPr>
        <w:t xml:space="preserve"> і                       компанії 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S.p.A.»: </w:t>
      </w:r>
    </w:p>
    <w:p w:rsidR="00FF3990" w:rsidRDefault="0045549B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FF3990">
        <w:rPr>
          <w:b/>
          <w:szCs w:val="24"/>
        </w:rPr>
        <w:t>на дату здійснення концентрації</w:t>
      </w:r>
      <w:r w:rsidRPr="00FF3990">
        <w:rPr>
          <w:b/>
          <w:szCs w:val="24"/>
          <w:lang w:val="ru-RU"/>
        </w:rPr>
        <w:t xml:space="preserve"> </w:t>
      </w:r>
      <w:r w:rsidRPr="00FF3990">
        <w:rPr>
          <w:b/>
          <w:szCs w:val="24"/>
        </w:rPr>
        <w:t>та подання заяви:</w:t>
      </w:r>
    </w:p>
    <w:p w:rsidR="00FF3990" w:rsidRDefault="0045549B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FF3990">
        <w:rPr>
          <w:b/>
          <w:szCs w:val="24"/>
        </w:rPr>
        <w:t xml:space="preserve">компанія «Guala </w:t>
      </w:r>
      <w:proofErr w:type="spellStart"/>
      <w:r w:rsidRPr="00FF3990">
        <w:rPr>
          <w:b/>
          <w:szCs w:val="24"/>
        </w:rPr>
        <w:t>Closures</w:t>
      </w:r>
      <w:proofErr w:type="spellEnd"/>
      <w:r w:rsidRPr="00FF3990">
        <w:rPr>
          <w:b/>
          <w:szCs w:val="24"/>
        </w:rPr>
        <w:t xml:space="preserve"> S.p.A.»</w:t>
      </w:r>
      <w:r w:rsidRPr="00FF3990">
        <w:rPr>
          <w:szCs w:val="24"/>
        </w:rPr>
        <w:t xml:space="preserve"> в Україні безпосередньо не здійснювала діяльності</w:t>
      </w:r>
      <w:r w:rsidR="00542DE8">
        <w:rPr>
          <w:szCs w:val="24"/>
        </w:rPr>
        <w:t xml:space="preserve"> й</w:t>
      </w:r>
      <w:r w:rsidRPr="00FF3990">
        <w:rPr>
          <w:szCs w:val="24"/>
        </w:rPr>
        <w:t xml:space="preserve"> була і є материнською компанією для суб’єктів господарювання – нерезидентів та резидентів України, що утворюють групу суб’єктів господарювання «Guala», та жоден з </w:t>
      </w:r>
      <w:r w:rsidR="00542DE8">
        <w:rPr>
          <w:szCs w:val="24"/>
        </w:rPr>
        <w:t>наявних</w:t>
      </w:r>
      <w:r w:rsidR="00542DE8" w:rsidRPr="00FF3990">
        <w:rPr>
          <w:szCs w:val="24"/>
        </w:rPr>
        <w:t xml:space="preserve"> </w:t>
      </w:r>
      <w:r w:rsidRPr="00FF3990">
        <w:rPr>
          <w:szCs w:val="24"/>
        </w:rPr>
        <w:t xml:space="preserve">акціонерів компанії «Guala </w:t>
      </w:r>
      <w:proofErr w:type="spellStart"/>
      <w:r w:rsidRPr="00FF3990">
        <w:rPr>
          <w:szCs w:val="24"/>
        </w:rPr>
        <w:t>Closures</w:t>
      </w:r>
      <w:proofErr w:type="spellEnd"/>
      <w:r w:rsidRPr="00FF3990">
        <w:rPr>
          <w:szCs w:val="24"/>
        </w:rPr>
        <w:t xml:space="preserve"> S.p.A.»  не здійснює контрол</w:t>
      </w:r>
      <w:r w:rsidR="00542DE8">
        <w:rPr>
          <w:szCs w:val="24"/>
        </w:rPr>
        <w:t>ю</w:t>
      </w:r>
      <w:r w:rsidRPr="00FF3990">
        <w:rPr>
          <w:szCs w:val="24"/>
        </w:rPr>
        <w:t xml:space="preserve"> над нею (одноосібно чи спільно з іншими акціонерами); </w:t>
      </w:r>
    </w:p>
    <w:p w:rsidR="00FF3990" w:rsidRDefault="0045549B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FF3990">
        <w:rPr>
          <w:color w:val="000000"/>
          <w:szCs w:val="24"/>
        </w:rPr>
        <w:t xml:space="preserve">група Guala в Україні здійснювала діяльність через своє підконтрольне                товариство з обмеженою відповідальністю «Гуала Кложерс Технологія Україна»            (м. Суми, Україна) з: виробництва й продажу алюмінієвих та пластикових коркувальних засобів для індустрії напоїв; </w:t>
      </w:r>
    </w:p>
    <w:p w:rsidR="00FF3990" w:rsidRDefault="0045549B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FF3990">
        <w:rPr>
          <w:szCs w:val="24"/>
        </w:rPr>
        <w:t>компанія «</w:t>
      </w:r>
      <w:hyperlink r:id="rId21" w:tgtFrame="_blank" w:history="1">
        <w:r w:rsidRPr="00BB2B4D">
          <w:t>Special Packaging Solutions Investments S.à r.l.» </w:t>
        </w:r>
      </w:hyperlink>
      <w:r w:rsidRPr="00FF3990">
        <w:rPr>
          <w:szCs w:val="24"/>
        </w:rPr>
        <w:t xml:space="preserve"> в Україні безпосередньо не здійснювала діяльності та була пов’язана з іншими суб’єктами господарювання відносинами контролю</w:t>
      </w:r>
      <w:r w:rsidR="00A32E19" w:rsidRPr="00FF3990">
        <w:rPr>
          <w:szCs w:val="24"/>
        </w:rPr>
        <w:t>,</w:t>
      </w:r>
      <w:r w:rsidRPr="00FF3990">
        <w:rPr>
          <w:szCs w:val="24"/>
        </w:rPr>
        <w:t xml:space="preserve"> які утворювали </w:t>
      </w:r>
      <w:r w:rsidR="00451931" w:rsidRPr="00FF3990">
        <w:rPr>
          <w:szCs w:val="24"/>
        </w:rPr>
        <w:t>групу Investindustrial</w:t>
      </w:r>
      <w:r w:rsidRPr="00FF3990">
        <w:rPr>
          <w:szCs w:val="24"/>
        </w:rPr>
        <w:t>;</w:t>
      </w:r>
    </w:p>
    <w:p w:rsidR="00FF3990" w:rsidRDefault="008F1D8E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FF3990">
        <w:rPr>
          <w:szCs w:val="24"/>
        </w:rPr>
        <w:t>груп</w:t>
      </w:r>
      <w:r>
        <w:rPr>
          <w:szCs w:val="24"/>
        </w:rPr>
        <w:t>а</w:t>
      </w:r>
      <w:r w:rsidRPr="00FF3990">
        <w:rPr>
          <w:szCs w:val="24"/>
        </w:rPr>
        <w:t xml:space="preserve"> Investindustrial</w:t>
      </w:r>
      <w:r w:rsidRPr="00FF3990">
        <w:rPr>
          <w:szCs w:val="24"/>
        </w:rPr>
        <w:t xml:space="preserve"> </w:t>
      </w:r>
      <w:r w:rsidR="0045549B" w:rsidRPr="00FF3990">
        <w:rPr>
          <w:szCs w:val="24"/>
        </w:rPr>
        <w:t xml:space="preserve">здійснювала діяльність в Україні через суб’єктів господарювання – нерезидентів </w:t>
      </w:r>
      <w:r w:rsidR="00542DE8">
        <w:rPr>
          <w:szCs w:val="24"/>
        </w:rPr>
        <w:t>і</w:t>
      </w:r>
      <w:r w:rsidR="0045549B" w:rsidRPr="00FF3990">
        <w:rPr>
          <w:szCs w:val="24"/>
        </w:rPr>
        <w:t>з: постачання через дистриб</w:t>
      </w:r>
      <w:r w:rsidR="00542DE8">
        <w:rPr>
          <w:szCs w:val="24"/>
        </w:rPr>
        <w:t>’</w:t>
      </w:r>
      <w:r w:rsidR="0045549B" w:rsidRPr="00FF3990">
        <w:rPr>
          <w:szCs w:val="24"/>
        </w:rPr>
        <w:t>юторів продукції та рішень для догляду за дітьми, косметичн</w:t>
      </w:r>
      <w:r w:rsidR="00542DE8">
        <w:rPr>
          <w:szCs w:val="24"/>
        </w:rPr>
        <w:t>ої</w:t>
      </w:r>
      <w:r w:rsidR="0045549B" w:rsidRPr="00FF3990">
        <w:rPr>
          <w:szCs w:val="24"/>
        </w:rPr>
        <w:t xml:space="preserve"> продукці</w:t>
      </w:r>
      <w:r w:rsidR="00542DE8">
        <w:rPr>
          <w:szCs w:val="24"/>
        </w:rPr>
        <w:t>ї</w:t>
      </w:r>
      <w:r w:rsidR="0045549B" w:rsidRPr="00FF3990">
        <w:rPr>
          <w:szCs w:val="24"/>
        </w:rPr>
        <w:t xml:space="preserve"> та рішен</w:t>
      </w:r>
      <w:r w:rsidR="00542DE8">
        <w:rPr>
          <w:szCs w:val="24"/>
        </w:rPr>
        <w:t>ь</w:t>
      </w:r>
      <w:r w:rsidR="0045549B" w:rsidRPr="00FF3990">
        <w:rPr>
          <w:szCs w:val="24"/>
        </w:rPr>
        <w:t xml:space="preserve">; постачання незначної кількості компаундів </w:t>
      </w:r>
      <w:proofErr w:type="spellStart"/>
      <w:r w:rsidR="0045549B" w:rsidRPr="00FF3990">
        <w:rPr>
          <w:szCs w:val="24"/>
        </w:rPr>
        <w:t>суспезійного</w:t>
      </w:r>
      <w:proofErr w:type="spellEnd"/>
      <w:r w:rsidR="0045549B" w:rsidRPr="00FF3990">
        <w:rPr>
          <w:szCs w:val="24"/>
        </w:rPr>
        <w:t xml:space="preserve"> ПВХ для ущільнення вікон; дистрибуції соленоїдних насосів, електромагнітних клапанів, контактних датчиків тиску, витратомірів та інших компонентів для належного контролю за проходженням рідин (води, газу, пари та повітря); постачання засобів доставки та пристроїв для вилучення мікропроб крові; постачання поліефірного листового </w:t>
      </w:r>
      <w:proofErr w:type="spellStart"/>
      <w:r w:rsidR="0045549B" w:rsidRPr="00FF3990">
        <w:rPr>
          <w:szCs w:val="24"/>
        </w:rPr>
        <w:t>пресматеріалу</w:t>
      </w:r>
      <w:proofErr w:type="spellEnd"/>
      <w:r w:rsidR="0045549B" w:rsidRPr="00FF3990">
        <w:rPr>
          <w:szCs w:val="24"/>
        </w:rPr>
        <w:t>, смол, спеціальних добавок (</w:t>
      </w:r>
      <w:proofErr w:type="spellStart"/>
      <w:r w:rsidR="0045549B" w:rsidRPr="00FF3990">
        <w:rPr>
          <w:szCs w:val="24"/>
        </w:rPr>
        <w:t>тріацетину</w:t>
      </w:r>
      <w:proofErr w:type="spellEnd"/>
      <w:r w:rsidR="0045549B" w:rsidRPr="00FF3990">
        <w:rPr>
          <w:szCs w:val="24"/>
        </w:rPr>
        <w:t xml:space="preserve">), пластифікаторів; оптового постачання елітного взуття та аксесуарів; елітного освітлювального устаткування; елітного освітлювального устаткування для житлових та промислових приміщень; тертого какао, какао-порошку та какао-масла, а також глазурі; печеного каміння; </w:t>
      </w:r>
      <w:proofErr w:type="spellStart"/>
      <w:r w:rsidR="0045549B" w:rsidRPr="00FF3990">
        <w:rPr>
          <w:szCs w:val="24"/>
        </w:rPr>
        <w:t>напівготових</w:t>
      </w:r>
      <w:proofErr w:type="spellEnd"/>
      <w:r w:rsidR="0045549B" w:rsidRPr="00FF3990">
        <w:rPr>
          <w:szCs w:val="24"/>
        </w:rPr>
        <w:t xml:space="preserve"> інгредієнтів для морозива; обладнання для  виробництва напоїв;</w:t>
      </w:r>
    </w:p>
    <w:p w:rsidR="00FF3990" w:rsidRDefault="0045549B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FF3990">
        <w:rPr>
          <w:szCs w:val="24"/>
        </w:rPr>
        <w:t xml:space="preserve">кінцевою материнською компанією </w:t>
      </w:r>
      <w:r w:rsidR="00451931" w:rsidRPr="00FF3990">
        <w:rPr>
          <w:szCs w:val="24"/>
        </w:rPr>
        <w:t>груп</w:t>
      </w:r>
      <w:r w:rsidR="00451931">
        <w:rPr>
          <w:szCs w:val="24"/>
        </w:rPr>
        <w:t>и</w:t>
      </w:r>
      <w:r w:rsidR="00451931" w:rsidRPr="00FF3990">
        <w:rPr>
          <w:szCs w:val="24"/>
        </w:rPr>
        <w:t xml:space="preserve"> Investindustrial </w:t>
      </w:r>
      <w:r w:rsidRPr="00FF3990">
        <w:rPr>
          <w:szCs w:val="24"/>
        </w:rPr>
        <w:t>є компанія</w:t>
      </w:r>
      <w:r w:rsidR="0004507A">
        <w:rPr>
          <w:szCs w:val="24"/>
        </w:rPr>
        <w:t>, створена за законодавством Люксембургу</w:t>
      </w:r>
      <w:r w:rsidRPr="00FF3990">
        <w:rPr>
          <w:szCs w:val="24"/>
        </w:rPr>
        <w:t>.</w:t>
      </w:r>
    </w:p>
    <w:p w:rsidR="00FF3990" w:rsidRDefault="00541EE8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FF3990">
        <w:rPr>
          <w:szCs w:val="24"/>
        </w:rPr>
        <w:t xml:space="preserve">на </w:t>
      </w:r>
      <w:r w:rsidR="0028454B" w:rsidRPr="00FF3990">
        <w:rPr>
          <w:szCs w:val="24"/>
        </w:rPr>
        <w:t xml:space="preserve">дату підготовки подання з попередніми висновками у справі  № </w:t>
      </w:r>
      <w:r w:rsidR="0028454B" w:rsidRPr="00BB2B4D">
        <w:t xml:space="preserve">126-26.13/72-21 </w:t>
      </w:r>
      <w:r w:rsidRPr="00FF3990">
        <w:rPr>
          <w:szCs w:val="24"/>
        </w:rPr>
        <w:t xml:space="preserve"> компанія «</w:t>
      </w:r>
      <w:hyperlink r:id="rId22" w:tgtFrame="_blank" w:history="1">
        <w:r w:rsidRPr="00BB2B4D">
          <w:t>Special Packaging Solutions Investments S.à r.l.» </w:t>
        </w:r>
      </w:hyperlink>
      <w:r>
        <w:t xml:space="preserve"> стала власником 94,9 % акціонерного капіталу та голосів компанії </w:t>
      </w:r>
      <w:r w:rsidRPr="00FF3990">
        <w:rPr>
          <w:szCs w:val="24"/>
        </w:rPr>
        <w:t xml:space="preserve">«Guala </w:t>
      </w:r>
      <w:proofErr w:type="spellStart"/>
      <w:r w:rsidRPr="00FF3990">
        <w:rPr>
          <w:szCs w:val="24"/>
        </w:rPr>
        <w:t>Closures</w:t>
      </w:r>
      <w:proofErr w:type="spellEnd"/>
      <w:r w:rsidRPr="00FF3990">
        <w:rPr>
          <w:szCs w:val="24"/>
        </w:rPr>
        <w:t xml:space="preserve"> S.p.A.»</w:t>
      </w:r>
      <w:r w:rsidR="00374D72">
        <w:rPr>
          <w:rStyle w:val="af9"/>
          <w:szCs w:val="24"/>
        </w:rPr>
        <w:footnoteReference w:id="2"/>
      </w:r>
      <w:r w:rsidR="00374D72">
        <w:rPr>
          <w:szCs w:val="24"/>
        </w:rPr>
        <w:t>.</w:t>
      </w:r>
    </w:p>
    <w:p w:rsidR="00FF3990" w:rsidRPr="00FF3990" w:rsidRDefault="00FF3990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FF3990">
        <w:rPr>
          <w:szCs w:val="24"/>
        </w:rPr>
        <w:t xml:space="preserve">Коментарі уповноваженого представника </w:t>
      </w:r>
      <w:r w:rsidRPr="00BB2B4D">
        <w:t xml:space="preserve">компанії </w:t>
      </w:r>
      <w:r w:rsidRPr="00FF3990">
        <w:rPr>
          <w:color w:val="0D0D0D"/>
          <w:szCs w:val="24"/>
        </w:rPr>
        <w:t>«</w:t>
      </w:r>
      <w:hyperlink r:id="rId23" w:tgtFrame="_blank" w:history="1">
        <w:r w:rsidRPr="00FF3990">
          <w:rPr>
            <w:rStyle w:val="af6"/>
            <w:color w:val="0D0D0D"/>
            <w:szCs w:val="24"/>
            <w:u w:val="none"/>
          </w:rPr>
          <w:t>Special Packaging Solutions Investments S.à r.l.»</w:t>
        </w:r>
      </w:hyperlink>
      <w:r>
        <w:t xml:space="preserve">, надані </w:t>
      </w:r>
      <w:r w:rsidRPr="00BB2B4D">
        <w:t>листом від 06 вересня 2021 року № 1152-4 (зареєстрованим у Комітеті 09.09.2021 за  № 8-06/1341-кі) до Подання з попередніми висновками</w:t>
      </w:r>
      <w:r w:rsidR="004229DE">
        <w:t>:</w:t>
      </w:r>
      <w:r>
        <w:t xml:space="preserve"> </w:t>
      </w:r>
    </w:p>
    <w:p w:rsidR="00A32E19" w:rsidRPr="00BB2B4D" w:rsidRDefault="004229DE" w:rsidP="00FF3990">
      <w:pPr>
        <w:pStyle w:val="211"/>
        <w:spacing w:before="120"/>
        <w:ind w:left="709" w:firstLine="0"/>
        <w:textAlignment w:val="baseline"/>
        <w:rPr>
          <w:szCs w:val="24"/>
        </w:rPr>
      </w:pPr>
      <w:r>
        <w:rPr>
          <w:szCs w:val="24"/>
        </w:rPr>
        <w:t>«</w:t>
      </w:r>
      <w:r w:rsidR="00A32E19" w:rsidRPr="00FF3990">
        <w:rPr>
          <w:szCs w:val="24"/>
        </w:rPr>
        <w:t>1) компанія «</w:t>
      </w:r>
      <w:hyperlink r:id="rId24" w:tgtFrame="_blank" w:history="1">
        <w:r w:rsidR="00A32E19" w:rsidRPr="00FF3990">
          <w:t>Special Packaging Solutions Investments S.à r.l.»</w:t>
        </w:r>
      </w:hyperlink>
      <w:r w:rsidR="00A32E19" w:rsidRPr="00FF3990">
        <w:t xml:space="preserve"> зазначає, що здійснення концентрації до отримання дозволу АМКУ відбулося через існуючу неможливість отримання необхідної інформації від компанії </w:t>
      </w:r>
      <w:r w:rsidR="00A32E19" w:rsidRPr="00BB2B4D">
        <w:rPr>
          <w:szCs w:val="24"/>
        </w:rPr>
        <w:t xml:space="preserve">«Guala </w:t>
      </w:r>
      <w:proofErr w:type="spellStart"/>
      <w:r w:rsidR="00A32E19" w:rsidRPr="00BB2B4D">
        <w:rPr>
          <w:szCs w:val="24"/>
        </w:rPr>
        <w:t>Closures</w:t>
      </w:r>
      <w:proofErr w:type="spellEnd"/>
      <w:r w:rsidR="00A32E19" w:rsidRPr="00BB2B4D">
        <w:rPr>
          <w:szCs w:val="24"/>
        </w:rPr>
        <w:t xml:space="preserve"> S.p.A.» у контексті придбання, тому це було ненавмисним порушенням;</w:t>
      </w:r>
    </w:p>
    <w:p w:rsidR="00A32E19" w:rsidRPr="00BB2B4D" w:rsidRDefault="00A32E19" w:rsidP="00FF3990">
      <w:pPr>
        <w:pStyle w:val="211"/>
        <w:spacing w:before="120"/>
        <w:ind w:left="709" w:firstLine="0"/>
        <w:textAlignment w:val="baseline"/>
        <w:rPr>
          <w:szCs w:val="24"/>
        </w:rPr>
      </w:pPr>
      <w:r w:rsidRPr="00FF3990">
        <w:rPr>
          <w:szCs w:val="24"/>
        </w:rPr>
        <w:lastRenderedPageBreak/>
        <w:t xml:space="preserve">2) в результаті концентрації було придбано лише міноритарну неконтролюючу частку компанії </w:t>
      </w:r>
      <w:r w:rsidRPr="00BB2B4D">
        <w:rPr>
          <w:szCs w:val="24"/>
        </w:rPr>
        <w:t xml:space="preserve">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S.p.A.»;</w:t>
      </w:r>
    </w:p>
    <w:p w:rsidR="00A32E19" w:rsidRPr="00FF3990" w:rsidRDefault="00A32E19" w:rsidP="00FF3990">
      <w:pPr>
        <w:pStyle w:val="211"/>
        <w:spacing w:before="120"/>
        <w:ind w:left="709" w:firstLine="0"/>
        <w:textAlignment w:val="baseline"/>
        <w:rPr>
          <w:szCs w:val="24"/>
        </w:rPr>
      </w:pPr>
      <w:r w:rsidRPr="00FF3990">
        <w:rPr>
          <w:szCs w:val="24"/>
        </w:rPr>
        <w:t>3) концентрація розглядалася як підготовчий етап до основної концентрації, яка полягала у набутті компанією «</w:t>
      </w:r>
      <w:hyperlink r:id="rId25" w:tgtFrame="_blank" w:history="1">
        <w:r w:rsidRPr="00FF3990">
          <w:t>Special Packaging Solutions Investments S.à r.l.»</w:t>
        </w:r>
      </w:hyperlink>
      <w:r w:rsidRPr="00FF3990">
        <w:t xml:space="preserve"> контролю над компанією </w:t>
      </w:r>
      <w:r w:rsidRPr="00BB2B4D">
        <w:rPr>
          <w:szCs w:val="24"/>
        </w:rPr>
        <w:t xml:space="preserve">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S.p.A.», а не як окрема трансакція;</w:t>
      </w:r>
    </w:p>
    <w:p w:rsidR="00A32E19" w:rsidRPr="00FF3990" w:rsidRDefault="00A32E19" w:rsidP="00FF3990">
      <w:pPr>
        <w:pStyle w:val="211"/>
        <w:spacing w:before="120"/>
        <w:ind w:left="709" w:firstLine="0"/>
        <w:textAlignment w:val="baseline"/>
        <w:rPr>
          <w:szCs w:val="24"/>
        </w:rPr>
      </w:pPr>
      <w:r w:rsidRPr="00FF3990">
        <w:t xml:space="preserve">4) </w:t>
      </w:r>
      <w:r w:rsidRPr="00FF3990">
        <w:rPr>
          <w:szCs w:val="24"/>
        </w:rPr>
        <w:t>компанія «</w:t>
      </w:r>
      <w:hyperlink r:id="rId26" w:tgtFrame="_blank" w:history="1">
        <w:r w:rsidRPr="00FF3990">
          <w:t>Special Packaging Solutions Investments S.à r.l.»</w:t>
        </w:r>
      </w:hyperlink>
      <w:r w:rsidRPr="00FF3990">
        <w:t xml:space="preserve"> звернулася за отриманням дозволу на концентрацію до початку розгляду справи про порушення законодавства про захист економічної конкуренції у вигляді </w:t>
      </w:r>
      <w:r w:rsidRPr="00BB2B4D">
        <w:rPr>
          <w:szCs w:val="24"/>
        </w:rPr>
        <w:t xml:space="preserve">придбання акцій компанії «Guala </w:t>
      </w:r>
      <w:proofErr w:type="spellStart"/>
      <w:r w:rsidRPr="00BB2B4D">
        <w:rPr>
          <w:szCs w:val="24"/>
        </w:rPr>
        <w:t>Closures</w:t>
      </w:r>
      <w:proofErr w:type="spellEnd"/>
      <w:r w:rsidRPr="00BB2B4D">
        <w:rPr>
          <w:szCs w:val="24"/>
        </w:rPr>
        <w:t xml:space="preserve"> S.p.A.», що забезпечує перевищення 25 % голосів у вищому органі управління компанії, без отримання відповідного дозволу органів Антимонопольного комітету України, наявність якого необхідна, а також співпрацю компанії </w:t>
      </w:r>
      <w:r w:rsidRPr="00FF3990">
        <w:rPr>
          <w:szCs w:val="24"/>
        </w:rPr>
        <w:t>«</w:t>
      </w:r>
      <w:hyperlink r:id="rId27" w:tgtFrame="_blank" w:history="1">
        <w:r w:rsidRPr="00FF3990">
          <w:t>Special Packaging Solutions Investments S.à r.l.»</w:t>
        </w:r>
      </w:hyperlink>
      <w:r w:rsidRPr="00FF3990">
        <w:t xml:space="preserve"> з АМКУ протягом розгляду справи</w:t>
      </w:r>
      <w:r w:rsidR="004229DE">
        <w:t>»</w:t>
      </w:r>
      <w:r w:rsidRPr="00FF3990">
        <w:t>.</w:t>
      </w:r>
    </w:p>
    <w:p w:rsidR="006B559C" w:rsidRPr="00BB2B4D" w:rsidRDefault="006B559C" w:rsidP="00BB2B4D">
      <w:pPr>
        <w:pStyle w:val="211"/>
        <w:spacing w:before="120"/>
        <w:ind w:left="709" w:firstLine="0"/>
        <w:textAlignment w:val="baseline"/>
        <w:rPr>
          <w:szCs w:val="24"/>
        </w:rPr>
      </w:pPr>
    </w:p>
    <w:p w:rsidR="00057401" w:rsidRDefault="00F473CD" w:rsidP="00F473CD">
      <w:pPr>
        <w:pStyle w:val="211"/>
        <w:tabs>
          <w:tab w:val="left" w:pos="709"/>
          <w:tab w:val="left" w:pos="851"/>
        </w:tabs>
        <w:ind w:firstLine="0"/>
        <w:rPr>
          <w:b/>
          <w:szCs w:val="24"/>
        </w:rPr>
      </w:pPr>
      <w:r w:rsidRPr="00ED79E4">
        <w:rPr>
          <w:b/>
          <w:szCs w:val="24"/>
        </w:rPr>
        <w:t>5</w:t>
      </w:r>
      <w:r w:rsidRPr="00ED79E4">
        <w:rPr>
          <w:szCs w:val="24"/>
        </w:rPr>
        <w:t>.</w:t>
      </w:r>
      <w:r w:rsidRPr="00ED79E4">
        <w:rPr>
          <w:szCs w:val="24"/>
        </w:rPr>
        <w:tab/>
      </w:r>
      <w:r w:rsidRPr="00ED79E4">
        <w:rPr>
          <w:b/>
          <w:szCs w:val="24"/>
        </w:rPr>
        <w:t>ВИСНОВКИ У СПРАВІ</w:t>
      </w:r>
      <w:r w:rsidRPr="002B02DC">
        <w:rPr>
          <w:b/>
          <w:szCs w:val="24"/>
        </w:rPr>
        <w:t xml:space="preserve"> </w:t>
      </w:r>
    </w:p>
    <w:p w:rsidR="008463EC" w:rsidRPr="00ED79E4" w:rsidRDefault="008463EC" w:rsidP="00ED79E4">
      <w:pPr>
        <w:pStyle w:val="211"/>
        <w:ind w:left="709" w:firstLine="0"/>
        <w:textAlignment w:val="baseline"/>
        <w:rPr>
          <w:szCs w:val="24"/>
        </w:rPr>
      </w:pPr>
    </w:p>
    <w:p w:rsidR="00E7585B" w:rsidRPr="00FF3990" w:rsidRDefault="00E7585B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E7585B">
        <w:rPr>
          <w:szCs w:val="24"/>
        </w:rPr>
        <w:t>Враховуючи, що компані</w:t>
      </w:r>
      <w:r w:rsidR="007B08BA">
        <w:rPr>
          <w:szCs w:val="24"/>
        </w:rPr>
        <w:t>ї</w:t>
      </w:r>
      <w:r w:rsidRPr="00E7585B">
        <w:rPr>
          <w:szCs w:val="24"/>
        </w:rPr>
        <w:t xml:space="preserve"> </w:t>
      </w:r>
      <w:r w:rsidRPr="00FF3990">
        <w:rPr>
          <w:szCs w:val="24"/>
        </w:rPr>
        <w:t>«</w:t>
      </w:r>
      <w:hyperlink r:id="rId28" w:tgtFrame="_blank" w:history="1">
        <w:r w:rsidRPr="004E5C4F">
          <w:t>Special Packaging Solutions Investments S.à r.l.»</w:t>
        </w:r>
      </w:hyperlink>
      <w:r w:rsidR="004E5C4F" w:rsidRPr="004E5C4F">
        <w:rPr>
          <w:szCs w:val="24"/>
        </w:rPr>
        <w:t xml:space="preserve"> та </w:t>
      </w:r>
      <w:r w:rsidR="004E5C4F">
        <w:rPr>
          <w:szCs w:val="24"/>
        </w:rPr>
        <w:t xml:space="preserve">               </w:t>
      </w:r>
      <w:r w:rsidR="004E5C4F" w:rsidRPr="004E5C4F">
        <w:rPr>
          <w:szCs w:val="24"/>
        </w:rPr>
        <w:t xml:space="preserve">«Guala </w:t>
      </w:r>
      <w:proofErr w:type="spellStart"/>
      <w:r w:rsidR="004E5C4F" w:rsidRPr="004E5C4F">
        <w:rPr>
          <w:szCs w:val="24"/>
        </w:rPr>
        <w:t>Closures</w:t>
      </w:r>
      <w:proofErr w:type="spellEnd"/>
      <w:r w:rsidR="004E5C4F" w:rsidRPr="004E5C4F">
        <w:rPr>
          <w:szCs w:val="24"/>
        </w:rPr>
        <w:t xml:space="preserve"> S.p.A.»</w:t>
      </w:r>
      <w:r w:rsidR="004229DE">
        <w:rPr>
          <w:szCs w:val="24"/>
        </w:rPr>
        <w:t>,</w:t>
      </w:r>
      <w:r w:rsidR="004E5C4F" w:rsidRPr="004E5C4F">
        <w:rPr>
          <w:szCs w:val="24"/>
        </w:rPr>
        <w:t xml:space="preserve"> </w:t>
      </w:r>
      <w:r w:rsidRPr="004E5C4F">
        <w:rPr>
          <w:szCs w:val="24"/>
        </w:rPr>
        <w:t xml:space="preserve"> з урахуванням відносин контролю</w:t>
      </w:r>
      <w:r w:rsidR="004229DE">
        <w:rPr>
          <w:szCs w:val="24"/>
        </w:rPr>
        <w:t>,</w:t>
      </w:r>
      <w:r w:rsidRPr="004E5C4F">
        <w:rPr>
          <w:szCs w:val="24"/>
        </w:rPr>
        <w:t xml:space="preserve"> </w:t>
      </w:r>
      <w:r w:rsidR="007B08BA">
        <w:rPr>
          <w:szCs w:val="24"/>
        </w:rPr>
        <w:t>здійснювали діяльність на різних несуміжних ринках</w:t>
      </w:r>
      <w:r w:rsidRPr="00E7585B">
        <w:rPr>
          <w:szCs w:val="24"/>
        </w:rPr>
        <w:t xml:space="preserve">, </w:t>
      </w:r>
      <w:r w:rsidRPr="00FF3990">
        <w:rPr>
          <w:szCs w:val="24"/>
        </w:rPr>
        <w:t>заявлене придбання не призвело до монополізації чи суттєвого обмеження конкуренції на товарних ринках України.</w:t>
      </w:r>
    </w:p>
    <w:p w:rsidR="00FF3990" w:rsidRPr="00FF3990" w:rsidRDefault="00E7585B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i/>
          <w:szCs w:val="24"/>
        </w:rPr>
      </w:pPr>
      <w:r w:rsidRPr="00E7585B">
        <w:rPr>
          <w:szCs w:val="24"/>
        </w:rPr>
        <w:t xml:space="preserve">Відповідно до пункту 12 статті 50 Закону України «Про захист економічної конкуренції» концентрація без отримання відповідного дозволу органів Антимонопольного комітету України, у разі якщо наявність такого дозволу необхідна, є порушенням законодавства про захист економічної конкуренції. </w:t>
      </w:r>
    </w:p>
    <w:p w:rsidR="00FF3990" w:rsidRPr="00FF3990" w:rsidRDefault="00E7585B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i/>
          <w:szCs w:val="24"/>
        </w:rPr>
      </w:pPr>
      <w:r w:rsidRPr="00FF3990">
        <w:rPr>
          <w:szCs w:val="24"/>
        </w:rPr>
        <w:t xml:space="preserve">Компанія </w:t>
      </w:r>
      <w:r w:rsidRPr="00FF3990">
        <w:rPr>
          <w:color w:val="0D0D0D"/>
          <w:szCs w:val="24"/>
        </w:rPr>
        <w:t>«</w:t>
      </w:r>
      <w:hyperlink r:id="rId29" w:tgtFrame="_blank" w:history="1">
        <w:r w:rsidRPr="00FF3990">
          <w:rPr>
            <w:rStyle w:val="af6"/>
            <w:color w:val="0D0D0D"/>
            <w:szCs w:val="24"/>
            <w:u w:val="none"/>
          </w:rPr>
          <w:t>Special Packaging Solutions Investments S.à r.l.»  </w:t>
        </w:r>
      </w:hyperlink>
      <w:r w:rsidRPr="00FF3990">
        <w:rPr>
          <w:szCs w:val="24"/>
        </w:rPr>
        <w:t xml:space="preserve">вчинила порушення, передбачене пунктом 12 статті 50 Закону України «Про захист економічної конкуренції», у вигляді здійснення концентрації шляхом придбання акцій компанії «Guala </w:t>
      </w:r>
      <w:proofErr w:type="spellStart"/>
      <w:r w:rsidRPr="00FF3990">
        <w:rPr>
          <w:szCs w:val="24"/>
        </w:rPr>
        <w:t>Closures</w:t>
      </w:r>
      <w:proofErr w:type="spellEnd"/>
      <w:r w:rsidRPr="00FF3990">
        <w:rPr>
          <w:szCs w:val="24"/>
        </w:rPr>
        <w:t xml:space="preserve"> S.p.A.», що забезпеч</w:t>
      </w:r>
      <w:r w:rsidR="00FF3990">
        <w:rPr>
          <w:szCs w:val="24"/>
        </w:rPr>
        <w:t>ує</w:t>
      </w:r>
      <w:r w:rsidRPr="00FF3990">
        <w:rPr>
          <w:szCs w:val="24"/>
        </w:rPr>
        <w:t xml:space="preserve"> перевищення 25 %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:rsidR="008266C0" w:rsidRPr="004B728D" w:rsidRDefault="00E7585B" w:rsidP="008266C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i/>
          <w:szCs w:val="24"/>
        </w:rPr>
      </w:pPr>
      <w:r w:rsidRPr="00FF3990">
        <w:rPr>
          <w:szCs w:val="24"/>
        </w:rPr>
        <w:t xml:space="preserve">Відповідно до абзацу </w:t>
      </w:r>
      <w:r w:rsidR="00FF3990">
        <w:rPr>
          <w:szCs w:val="24"/>
        </w:rPr>
        <w:t>третьо</w:t>
      </w:r>
      <w:r w:rsidR="000C5315" w:rsidRPr="00FF3990">
        <w:rPr>
          <w:szCs w:val="24"/>
        </w:rPr>
        <w:t>го</w:t>
      </w:r>
      <w:r w:rsidRPr="00FF3990">
        <w:rPr>
          <w:szCs w:val="24"/>
        </w:rPr>
        <w:t xml:space="preserve"> частини другої статті 52 Закону України «Про захист економічної конкуренції» органи Антимонопольного комітету України за порушення, передбачене пунктом 12 статті 50 цього Закону</w:t>
      </w:r>
      <w:r w:rsidR="004229DE">
        <w:rPr>
          <w:szCs w:val="24"/>
        </w:rPr>
        <w:t>,</w:t>
      </w:r>
      <w:r w:rsidRPr="00FF3990">
        <w:rPr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</w:t>
      </w:r>
      <w:r w:rsidRPr="004B728D">
        <w:rPr>
          <w:szCs w:val="24"/>
        </w:rPr>
        <w:t>штраф.</w:t>
      </w:r>
    </w:p>
    <w:p w:rsidR="00FF3990" w:rsidRPr="004B728D" w:rsidRDefault="008266C0" w:rsidP="008266C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szCs w:val="24"/>
        </w:rPr>
      </w:pPr>
      <w:r w:rsidRPr="004B728D">
        <w:rPr>
          <w:szCs w:val="24"/>
        </w:rPr>
        <w:t>Дохід (виручка) від реалізації продукції (товарів, робіт, послуг) компанії «</w:t>
      </w:r>
      <w:hyperlink r:id="rId30" w:tgtFrame="_blank" w:history="1">
        <w:r w:rsidRPr="004B728D">
          <w:rPr>
            <w:szCs w:val="24"/>
          </w:rPr>
          <w:t>Special Packaging Solutions Investments S.à r.l.» </w:t>
        </w:r>
      </w:hyperlink>
      <w:r w:rsidR="00E805B8" w:rsidRPr="004B728D">
        <w:rPr>
          <w:szCs w:val="24"/>
        </w:rPr>
        <w:t>та суб’єктів господарювання,</w:t>
      </w:r>
      <w:r w:rsidRPr="004B728D">
        <w:rPr>
          <w:szCs w:val="24"/>
        </w:rPr>
        <w:t xml:space="preserve"> пов’язан</w:t>
      </w:r>
      <w:r w:rsidR="00E805B8" w:rsidRPr="004B728D">
        <w:rPr>
          <w:szCs w:val="24"/>
        </w:rPr>
        <w:t>их</w:t>
      </w:r>
      <w:r w:rsidRPr="004B728D">
        <w:rPr>
          <w:szCs w:val="24"/>
        </w:rPr>
        <w:t xml:space="preserve"> </w:t>
      </w:r>
      <w:r w:rsidR="00E805B8" w:rsidRPr="004B728D">
        <w:rPr>
          <w:szCs w:val="24"/>
        </w:rPr>
        <w:t>і</w:t>
      </w:r>
      <w:r w:rsidRPr="004B728D">
        <w:rPr>
          <w:szCs w:val="24"/>
        </w:rPr>
        <w:t>з н</w:t>
      </w:r>
      <w:r w:rsidR="00E805B8" w:rsidRPr="004B728D">
        <w:rPr>
          <w:szCs w:val="24"/>
        </w:rPr>
        <w:t>ею</w:t>
      </w:r>
      <w:r w:rsidRPr="004B728D">
        <w:rPr>
          <w:szCs w:val="24"/>
        </w:rPr>
        <w:t xml:space="preserve"> відносинами контролю, за 2020 рік становить </w:t>
      </w:r>
      <w:r w:rsidR="0004507A" w:rsidRPr="0004507A">
        <w:rPr>
          <w:szCs w:val="24"/>
          <w:lang w:val="ru-RU"/>
        </w:rPr>
        <w:t>[</w:t>
      </w:r>
      <w:proofErr w:type="spellStart"/>
      <w:r w:rsidR="0004507A" w:rsidRPr="0004507A">
        <w:rPr>
          <w:i/>
          <w:szCs w:val="24"/>
          <w:lang w:val="ru-RU"/>
        </w:rPr>
        <w:t>інформація</w:t>
      </w:r>
      <w:proofErr w:type="spellEnd"/>
      <w:r w:rsidR="0004507A" w:rsidRPr="0004507A">
        <w:rPr>
          <w:i/>
          <w:szCs w:val="24"/>
          <w:lang w:val="ru-RU"/>
        </w:rPr>
        <w:t xml:space="preserve"> з </w:t>
      </w:r>
      <w:proofErr w:type="spellStart"/>
      <w:r w:rsidR="0004507A" w:rsidRPr="0004507A">
        <w:rPr>
          <w:i/>
          <w:szCs w:val="24"/>
          <w:lang w:val="ru-RU"/>
        </w:rPr>
        <w:t>обмеженим</w:t>
      </w:r>
      <w:proofErr w:type="spellEnd"/>
      <w:r w:rsidR="0004507A" w:rsidRPr="0004507A">
        <w:rPr>
          <w:i/>
          <w:szCs w:val="24"/>
          <w:lang w:val="ru-RU"/>
        </w:rPr>
        <w:t xml:space="preserve"> доступом</w:t>
      </w:r>
      <w:r w:rsidR="0004507A" w:rsidRPr="0004507A">
        <w:rPr>
          <w:szCs w:val="24"/>
          <w:lang w:val="ru-RU"/>
        </w:rPr>
        <w:t>]</w:t>
      </w:r>
      <w:r w:rsidR="0004507A">
        <w:rPr>
          <w:szCs w:val="24"/>
          <w:lang w:val="ru-RU"/>
        </w:rPr>
        <w:t>.</w:t>
      </w:r>
    </w:p>
    <w:p w:rsidR="00966AB8" w:rsidRPr="00FF3990" w:rsidRDefault="00911BA8" w:rsidP="00FF3990">
      <w:pPr>
        <w:pStyle w:val="211"/>
        <w:numPr>
          <w:ilvl w:val="1"/>
          <w:numId w:val="23"/>
        </w:numPr>
        <w:spacing w:before="120"/>
        <w:ind w:left="709" w:hanging="709"/>
        <w:textAlignment w:val="baseline"/>
        <w:rPr>
          <w:i/>
          <w:szCs w:val="24"/>
        </w:rPr>
      </w:pPr>
      <w:r w:rsidRPr="004B728D">
        <w:rPr>
          <w:szCs w:val="24"/>
        </w:rPr>
        <w:t xml:space="preserve">Під час </w:t>
      </w:r>
      <w:r w:rsidR="00966AB8" w:rsidRPr="004B728D">
        <w:rPr>
          <w:szCs w:val="24"/>
        </w:rPr>
        <w:t>визначенн</w:t>
      </w:r>
      <w:r w:rsidRPr="004B728D">
        <w:rPr>
          <w:szCs w:val="24"/>
        </w:rPr>
        <w:t>я</w:t>
      </w:r>
      <w:r w:rsidR="00966AB8" w:rsidRPr="004B728D">
        <w:rPr>
          <w:szCs w:val="24"/>
        </w:rPr>
        <w:t xml:space="preserve"> розміру штрафу за вчинення компанією «</w:t>
      </w:r>
      <w:hyperlink r:id="rId31" w:tgtFrame="_blank" w:history="1">
        <w:r w:rsidR="00966AB8" w:rsidRPr="004B728D">
          <w:t>Special Packaging Solutions Investments S.à r.l.»</w:t>
        </w:r>
      </w:hyperlink>
      <w:r w:rsidR="00966AB8" w:rsidRPr="00FF3990">
        <w:rPr>
          <w:szCs w:val="24"/>
        </w:rPr>
        <w:t xml:space="preserve"> порушення законодавства про захист економічної конкуренції </w:t>
      </w:r>
      <w:r w:rsidR="00FF3990">
        <w:rPr>
          <w:szCs w:val="24"/>
        </w:rPr>
        <w:t>враховано</w:t>
      </w:r>
      <w:r w:rsidR="00966AB8" w:rsidRPr="00FF3990">
        <w:rPr>
          <w:szCs w:val="24"/>
        </w:rPr>
        <w:t>, що компанія «</w:t>
      </w:r>
      <w:hyperlink r:id="rId32" w:tgtFrame="_blank" w:history="1">
        <w:r w:rsidR="00966AB8" w:rsidRPr="00FF3990">
          <w:t>Special Packaging Solutions Investments S.à r.l.»</w:t>
        </w:r>
      </w:hyperlink>
      <w:r w:rsidR="00966AB8" w:rsidRPr="00FF3990">
        <w:rPr>
          <w:szCs w:val="24"/>
        </w:rPr>
        <w:t xml:space="preserve"> звернулася за отриманням дозволу на концентрацію до початку розгляду справи про порушення. </w:t>
      </w:r>
    </w:p>
    <w:p w:rsidR="00843FE1" w:rsidRPr="00B05FE0" w:rsidRDefault="00843FE1" w:rsidP="00B05FE0">
      <w:pPr>
        <w:pStyle w:val="21"/>
        <w:spacing w:before="120"/>
        <w:ind w:left="709" w:firstLine="0"/>
        <w:rPr>
          <w:i w:val="0"/>
          <w:szCs w:val="24"/>
        </w:rPr>
      </w:pPr>
    </w:p>
    <w:p w:rsidR="00A71F38" w:rsidRPr="00F37124" w:rsidRDefault="00A71F38" w:rsidP="00065A8E">
      <w:pPr>
        <w:pStyle w:val="211"/>
        <w:ind w:firstLine="709"/>
        <w:textAlignment w:val="baseline"/>
      </w:pPr>
      <w:r w:rsidRPr="00F37124">
        <w:t>Враховуючи викладене, керуючись статт</w:t>
      </w:r>
      <w:r w:rsidR="006A28E0" w:rsidRPr="00F37124">
        <w:t>ею</w:t>
      </w:r>
      <w:r w:rsidRPr="00F37124">
        <w:t xml:space="preserve"> 7 Закону України «Про Антимонопольний комітет України», статтями </w:t>
      </w:r>
      <w:r w:rsidR="004E5C4F">
        <w:t xml:space="preserve">25, </w:t>
      </w:r>
      <w:r w:rsidRPr="00F37124"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>
        <w:t xml:space="preserve">                          </w:t>
      </w:r>
      <w:r w:rsidRPr="00F37124">
        <w:lastRenderedPageBreak/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>
        <w:t xml:space="preserve"> </w:t>
      </w:r>
      <w:r w:rsidRPr="00F37124">
        <w:t>№ 169-р) (зі змінами), Антимонопольний комітет України</w:t>
      </w:r>
    </w:p>
    <w:p w:rsidR="004A7652" w:rsidRPr="00D4502C" w:rsidRDefault="004A7652" w:rsidP="004A7652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94773B" w:rsidRPr="00D4502C" w:rsidRDefault="0094773B" w:rsidP="004A7652">
      <w:pPr>
        <w:pStyle w:val="1"/>
        <w:numPr>
          <w:ilvl w:val="0"/>
          <w:numId w:val="0"/>
        </w:numPr>
        <w:rPr>
          <w:sz w:val="24"/>
          <w:szCs w:val="24"/>
        </w:rPr>
      </w:pPr>
      <w:r w:rsidRPr="00D4502C">
        <w:rPr>
          <w:sz w:val="24"/>
          <w:szCs w:val="24"/>
        </w:rPr>
        <w:t>ПОСТАНОВИВ:</w:t>
      </w:r>
    </w:p>
    <w:p w:rsidR="004A7652" w:rsidRPr="00D4502C" w:rsidRDefault="004A7652" w:rsidP="009948C5">
      <w:pPr>
        <w:tabs>
          <w:tab w:val="left" w:pos="709"/>
        </w:tabs>
        <w:rPr>
          <w:sz w:val="28"/>
          <w:szCs w:val="28"/>
        </w:rPr>
      </w:pPr>
    </w:p>
    <w:p w:rsidR="007E77D6" w:rsidRPr="004B728D" w:rsidRDefault="00966AB8" w:rsidP="00966AB8">
      <w:pPr>
        <w:pStyle w:val="211"/>
        <w:ind w:firstLine="709"/>
        <w:textAlignment w:val="baseline"/>
        <w:rPr>
          <w:szCs w:val="24"/>
        </w:rPr>
      </w:pPr>
      <w:r w:rsidRPr="00966AB8">
        <w:rPr>
          <w:szCs w:val="24"/>
        </w:rPr>
        <w:t>1.</w:t>
      </w:r>
      <w:r>
        <w:rPr>
          <w:szCs w:val="24"/>
        </w:rPr>
        <w:t xml:space="preserve"> </w:t>
      </w:r>
      <w:r w:rsidR="006E05F6" w:rsidRPr="00C93CF1">
        <w:rPr>
          <w:szCs w:val="24"/>
        </w:rPr>
        <w:t xml:space="preserve">Визнати, що </w:t>
      </w:r>
      <w:r w:rsidRPr="00966AB8">
        <w:rPr>
          <w:szCs w:val="24"/>
        </w:rPr>
        <w:t>компанія «</w:t>
      </w:r>
      <w:hyperlink r:id="rId33" w:tgtFrame="_blank" w:history="1">
        <w:r w:rsidRPr="00966AB8">
          <w:t xml:space="preserve">Special Packaging Solutions Investments S.à r.l.» </w:t>
        </w:r>
      </w:hyperlink>
      <w:r w:rsidRPr="00BB2B4D">
        <w:rPr>
          <w:szCs w:val="24"/>
        </w:rPr>
        <w:t>(м. Люксембург, Велике Герцогство Люксембург</w:t>
      </w:r>
      <w:r w:rsidRPr="00966AB8">
        <w:rPr>
          <w:szCs w:val="24"/>
        </w:rPr>
        <w:t xml:space="preserve">) </w:t>
      </w:r>
      <w:r w:rsidRPr="00E7585B">
        <w:rPr>
          <w:szCs w:val="24"/>
        </w:rPr>
        <w:t xml:space="preserve">вчинила порушення, передбачене пунктом 12 статті 50 Закону України «Про захист економічної конкуренції», у вигляді здійснення концентрації шляхом придбання акцій компанії «Guala </w:t>
      </w:r>
      <w:proofErr w:type="spellStart"/>
      <w:r w:rsidRPr="00E7585B">
        <w:rPr>
          <w:szCs w:val="24"/>
        </w:rPr>
        <w:t>Closures</w:t>
      </w:r>
      <w:proofErr w:type="spellEnd"/>
      <w:r w:rsidRPr="00E7585B">
        <w:rPr>
          <w:szCs w:val="24"/>
        </w:rPr>
        <w:t xml:space="preserve"> S.p.A.»</w:t>
      </w:r>
      <w:r>
        <w:rPr>
          <w:szCs w:val="24"/>
        </w:rPr>
        <w:t xml:space="preserve"> </w:t>
      </w:r>
      <w:r w:rsidRPr="00BB2B4D">
        <w:rPr>
          <w:szCs w:val="24"/>
        </w:rPr>
        <w:t xml:space="preserve">(м. </w:t>
      </w:r>
      <w:proofErr w:type="spellStart"/>
      <w:r w:rsidRPr="00BB2B4D">
        <w:rPr>
          <w:szCs w:val="24"/>
        </w:rPr>
        <w:t>Спінетта</w:t>
      </w:r>
      <w:proofErr w:type="spellEnd"/>
      <w:r w:rsidRPr="00BB2B4D">
        <w:rPr>
          <w:szCs w:val="24"/>
        </w:rPr>
        <w:t xml:space="preserve"> Маренго, Італія)</w:t>
      </w:r>
      <w:r w:rsidRPr="00E7585B">
        <w:rPr>
          <w:szCs w:val="24"/>
        </w:rPr>
        <w:t>, що забезпечило перевищення 25</w:t>
      </w:r>
      <w:r w:rsidRPr="00966AB8">
        <w:rPr>
          <w:szCs w:val="24"/>
        </w:rPr>
        <w:t xml:space="preserve"> </w:t>
      </w:r>
      <w:r>
        <w:rPr>
          <w:szCs w:val="24"/>
        </w:rPr>
        <w:t>відсотків</w:t>
      </w:r>
      <w:r w:rsidRPr="00E7585B">
        <w:rPr>
          <w:szCs w:val="24"/>
        </w:rPr>
        <w:t xml:space="preserve"> голосів у вищому органі управління компанії, без отримання відповідного дозволу органів Антимонопольного </w:t>
      </w:r>
      <w:r w:rsidRPr="004B728D">
        <w:rPr>
          <w:szCs w:val="24"/>
        </w:rPr>
        <w:t>комітету України, наявність якого необхідна.</w:t>
      </w:r>
    </w:p>
    <w:p w:rsidR="00966AB8" w:rsidRPr="004B728D" w:rsidRDefault="00966AB8" w:rsidP="00966AB8">
      <w:pPr>
        <w:pStyle w:val="211"/>
        <w:ind w:firstLine="0"/>
        <w:rPr>
          <w:szCs w:val="24"/>
        </w:rPr>
      </w:pPr>
    </w:p>
    <w:p w:rsidR="00DF6A07" w:rsidRPr="004B728D" w:rsidRDefault="00DF6A07" w:rsidP="0072359A">
      <w:pPr>
        <w:pStyle w:val="211"/>
        <w:ind w:firstLine="709"/>
        <w:textAlignment w:val="baseline"/>
        <w:rPr>
          <w:szCs w:val="24"/>
        </w:rPr>
      </w:pPr>
      <w:r w:rsidRPr="004B728D">
        <w:rPr>
          <w:szCs w:val="24"/>
        </w:rPr>
        <w:t xml:space="preserve">2. За порушення, </w:t>
      </w:r>
      <w:r w:rsidR="0002595D" w:rsidRPr="004B728D">
        <w:rPr>
          <w:szCs w:val="24"/>
        </w:rPr>
        <w:t>за</w:t>
      </w:r>
      <w:r w:rsidR="00BD1A4D" w:rsidRPr="004B728D">
        <w:rPr>
          <w:szCs w:val="24"/>
        </w:rPr>
        <w:t xml:space="preserve">значене </w:t>
      </w:r>
      <w:r w:rsidR="0002595D" w:rsidRPr="004B728D">
        <w:rPr>
          <w:szCs w:val="24"/>
        </w:rPr>
        <w:t>в</w:t>
      </w:r>
      <w:r w:rsidR="00BD1A4D" w:rsidRPr="004B728D">
        <w:rPr>
          <w:szCs w:val="24"/>
        </w:rPr>
        <w:t xml:space="preserve"> пункті 1 </w:t>
      </w:r>
      <w:r w:rsidR="00A2581F" w:rsidRPr="004B728D">
        <w:rPr>
          <w:szCs w:val="24"/>
        </w:rPr>
        <w:t>резолютивної частини цього</w:t>
      </w:r>
      <w:r w:rsidR="00BD1A4D" w:rsidRPr="004B728D">
        <w:rPr>
          <w:szCs w:val="24"/>
        </w:rPr>
        <w:t xml:space="preserve"> рішення</w:t>
      </w:r>
      <w:r w:rsidRPr="004B728D">
        <w:rPr>
          <w:szCs w:val="24"/>
        </w:rPr>
        <w:t xml:space="preserve">, накласти на </w:t>
      </w:r>
      <w:r w:rsidR="00966AB8" w:rsidRPr="004B728D">
        <w:rPr>
          <w:szCs w:val="24"/>
        </w:rPr>
        <w:t>компанію «</w:t>
      </w:r>
      <w:hyperlink r:id="rId34" w:tgtFrame="_blank" w:history="1">
        <w:r w:rsidR="00966AB8" w:rsidRPr="004B728D">
          <w:t xml:space="preserve">Special Packaging Solutions Investments S.à r.l.» </w:t>
        </w:r>
      </w:hyperlink>
      <w:r w:rsidR="00A97D4E" w:rsidRPr="004B728D">
        <w:t>штраф</w:t>
      </w:r>
      <w:r w:rsidR="00EB4C8B" w:rsidRPr="004B728D">
        <w:rPr>
          <w:rFonts w:eastAsia="Calibri"/>
          <w:bCs/>
        </w:rPr>
        <w:t xml:space="preserve"> </w:t>
      </w:r>
      <w:r w:rsidRPr="004B728D">
        <w:rPr>
          <w:szCs w:val="24"/>
        </w:rPr>
        <w:t>у розмірі</w:t>
      </w:r>
      <w:r w:rsidR="00333AF0" w:rsidRPr="004B728D">
        <w:rPr>
          <w:szCs w:val="24"/>
        </w:rPr>
        <w:t xml:space="preserve">                 </w:t>
      </w:r>
      <w:r w:rsidRPr="004B728D">
        <w:rPr>
          <w:szCs w:val="24"/>
        </w:rPr>
        <w:t xml:space="preserve"> </w:t>
      </w:r>
      <w:r w:rsidR="002D6C0A" w:rsidRPr="004B728D">
        <w:rPr>
          <w:szCs w:val="24"/>
        </w:rPr>
        <w:t xml:space="preserve">                 170</w:t>
      </w:r>
      <w:r w:rsidR="002D6C0A" w:rsidRPr="004B728D">
        <w:rPr>
          <w:szCs w:val="24"/>
          <w:lang w:val="en-US"/>
        </w:rPr>
        <w:t> </w:t>
      </w:r>
      <w:r w:rsidR="002D6C0A" w:rsidRPr="004B728D">
        <w:rPr>
          <w:szCs w:val="24"/>
        </w:rPr>
        <w:t xml:space="preserve">000 </w:t>
      </w:r>
      <w:r w:rsidR="003115DC" w:rsidRPr="004B728D">
        <w:rPr>
          <w:szCs w:val="24"/>
        </w:rPr>
        <w:t>(</w:t>
      </w:r>
      <w:r w:rsidR="002D6C0A" w:rsidRPr="004B728D">
        <w:rPr>
          <w:szCs w:val="24"/>
        </w:rPr>
        <w:t>сто сімдесят тисяч</w:t>
      </w:r>
      <w:r w:rsidR="003115DC" w:rsidRPr="004B728D">
        <w:rPr>
          <w:szCs w:val="24"/>
        </w:rPr>
        <w:t>)</w:t>
      </w:r>
      <w:r w:rsidRPr="004B728D">
        <w:rPr>
          <w:szCs w:val="24"/>
        </w:rPr>
        <w:t xml:space="preserve"> гривень.</w:t>
      </w:r>
    </w:p>
    <w:p w:rsidR="00A2581F" w:rsidRPr="004B728D" w:rsidRDefault="00A2581F" w:rsidP="0002595D">
      <w:pPr>
        <w:pStyle w:val="211"/>
        <w:ind w:firstLine="0"/>
        <w:textAlignment w:val="baseline"/>
        <w:rPr>
          <w:szCs w:val="24"/>
        </w:rPr>
      </w:pPr>
    </w:p>
    <w:p w:rsidR="00A97D4E" w:rsidRDefault="00A2581F" w:rsidP="00EB4C8B">
      <w:pPr>
        <w:pStyle w:val="211"/>
        <w:rPr>
          <w:szCs w:val="24"/>
        </w:rPr>
      </w:pPr>
      <w:r w:rsidRPr="00476E9D">
        <w:rPr>
          <w:szCs w:val="24"/>
        </w:rPr>
        <w:t>3.</w:t>
      </w:r>
      <w:r w:rsidR="0072359A">
        <w:rPr>
          <w:szCs w:val="24"/>
        </w:rPr>
        <w:t xml:space="preserve"> </w:t>
      </w:r>
      <w:r w:rsidR="00A97D4E" w:rsidRPr="00926E78">
        <w:t>Надати</w:t>
      </w:r>
      <w:r w:rsidR="00A97D4E">
        <w:t xml:space="preserve"> дозвіл</w:t>
      </w:r>
      <w:r w:rsidR="00A97D4E" w:rsidRPr="00926E78">
        <w:t xml:space="preserve"> </w:t>
      </w:r>
      <w:r w:rsidR="00A40600" w:rsidRPr="00966AB8">
        <w:rPr>
          <w:szCs w:val="24"/>
        </w:rPr>
        <w:t>компані</w:t>
      </w:r>
      <w:r w:rsidR="00A40600">
        <w:rPr>
          <w:szCs w:val="24"/>
        </w:rPr>
        <w:t>ї</w:t>
      </w:r>
      <w:r w:rsidR="00A40600" w:rsidRPr="00966AB8">
        <w:rPr>
          <w:szCs w:val="24"/>
        </w:rPr>
        <w:t xml:space="preserve"> «</w:t>
      </w:r>
      <w:hyperlink r:id="rId35" w:tgtFrame="_blank" w:history="1">
        <w:r w:rsidR="00A40600" w:rsidRPr="00966AB8">
          <w:t xml:space="preserve">Special Packaging Solutions Investments S.à r.l.» </w:t>
        </w:r>
      </w:hyperlink>
      <w:r w:rsidR="00A97D4E" w:rsidRPr="001E1251">
        <w:t xml:space="preserve">на </w:t>
      </w:r>
      <w:r w:rsidR="00A97D4E">
        <w:t xml:space="preserve"> </w:t>
      </w:r>
      <w:r w:rsidR="00A40600" w:rsidRPr="00BB2B4D">
        <w:rPr>
          <w:szCs w:val="24"/>
        </w:rPr>
        <w:t xml:space="preserve">придбання акцій компанії </w:t>
      </w:r>
      <w:r w:rsidR="00A40600">
        <w:rPr>
          <w:szCs w:val="24"/>
        </w:rPr>
        <w:t xml:space="preserve"> </w:t>
      </w:r>
      <w:r w:rsidR="00A40600" w:rsidRPr="00BB2B4D">
        <w:rPr>
          <w:szCs w:val="24"/>
        </w:rPr>
        <w:t xml:space="preserve">«Guala </w:t>
      </w:r>
      <w:proofErr w:type="spellStart"/>
      <w:r w:rsidR="00A40600" w:rsidRPr="00BB2B4D">
        <w:rPr>
          <w:szCs w:val="24"/>
        </w:rPr>
        <w:t>Closures</w:t>
      </w:r>
      <w:proofErr w:type="spellEnd"/>
      <w:r w:rsidR="00A40600" w:rsidRPr="00BB2B4D">
        <w:rPr>
          <w:szCs w:val="24"/>
        </w:rPr>
        <w:t xml:space="preserve"> S.p.A.», що забезпечує перевищення </w:t>
      </w:r>
      <w:r w:rsidR="00A40600">
        <w:rPr>
          <w:szCs w:val="24"/>
        </w:rPr>
        <w:t xml:space="preserve"> </w:t>
      </w:r>
      <w:r w:rsidR="00A40600" w:rsidRPr="00BB2B4D">
        <w:rPr>
          <w:szCs w:val="24"/>
        </w:rPr>
        <w:t>25</w:t>
      </w:r>
      <w:r w:rsidR="00A40600">
        <w:rPr>
          <w:szCs w:val="24"/>
        </w:rPr>
        <w:t xml:space="preserve"> відсотків</w:t>
      </w:r>
      <w:r w:rsidR="00A40600" w:rsidRPr="00BB2B4D">
        <w:rPr>
          <w:szCs w:val="24"/>
        </w:rPr>
        <w:t xml:space="preserve"> голосів у вищому органі управління компанії</w:t>
      </w:r>
      <w:r w:rsidR="00A40600">
        <w:rPr>
          <w:szCs w:val="24"/>
        </w:rPr>
        <w:t>.</w:t>
      </w:r>
    </w:p>
    <w:p w:rsidR="0012256F" w:rsidRDefault="0012256F" w:rsidP="0072359A">
      <w:pPr>
        <w:pStyle w:val="211"/>
        <w:ind w:firstLine="709"/>
        <w:textAlignment w:val="baseline"/>
        <w:rPr>
          <w:szCs w:val="24"/>
        </w:rPr>
      </w:pPr>
    </w:p>
    <w:p w:rsidR="006A28E0" w:rsidRPr="00EE1237" w:rsidRDefault="006A28E0" w:rsidP="0072359A">
      <w:pPr>
        <w:pStyle w:val="211"/>
        <w:ind w:firstLine="709"/>
        <w:textAlignment w:val="baseline"/>
        <w:rPr>
          <w:szCs w:val="24"/>
        </w:rPr>
      </w:pPr>
      <w:r w:rsidRPr="00D4502C">
        <w:rPr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>
        <w:rPr>
          <w:szCs w:val="24"/>
        </w:rPr>
        <w:t>.</w:t>
      </w:r>
    </w:p>
    <w:p w:rsidR="0094773B" w:rsidRPr="00D4502C" w:rsidRDefault="0094773B" w:rsidP="0002595D">
      <w:pPr>
        <w:pStyle w:val="211"/>
        <w:ind w:firstLine="0"/>
        <w:textAlignment w:val="baseline"/>
        <w:rPr>
          <w:szCs w:val="24"/>
        </w:rPr>
      </w:pPr>
    </w:p>
    <w:p w:rsidR="006F2562" w:rsidRPr="00F82255" w:rsidRDefault="006F2562" w:rsidP="0072359A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  <w:r w:rsidRPr="00F82255">
        <w:rPr>
          <w:szCs w:val="24"/>
        </w:rPr>
        <w:t>Рішення може бути оскаржене до господарського суду міста Києва у двомісячний строк з дня його одержання.</w:t>
      </w:r>
    </w:p>
    <w:p w:rsidR="00962AAF" w:rsidRPr="006A4853" w:rsidRDefault="00962AAF" w:rsidP="0002595D">
      <w:pPr>
        <w:jc w:val="both"/>
        <w:rPr>
          <w:sz w:val="24"/>
          <w:szCs w:val="24"/>
        </w:rPr>
      </w:pPr>
    </w:p>
    <w:p w:rsidR="00D4502C" w:rsidRPr="006A4853" w:rsidRDefault="00D4502C" w:rsidP="001F6192">
      <w:pPr>
        <w:jc w:val="both"/>
        <w:rPr>
          <w:sz w:val="24"/>
          <w:szCs w:val="24"/>
        </w:rPr>
      </w:pPr>
    </w:p>
    <w:p w:rsidR="0094773B" w:rsidRPr="006A4853" w:rsidRDefault="004F5BF5" w:rsidP="00230656">
      <w:pPr>
        <w:tabs>
          <w:tab w:val="left" w:pos="8789"/>
        </w:tabs>
        <w:rPr>
          <w:sz w:val="24"/>
          <w:szCs w:val="24"/>
        </w:rPr>
      </w:pPr>
      <w:r w:rsidRPr="006A4853">
        <w:rPr>
          <w:sz w:val="24"/>
          <w:szCs w:val="24"/>
        </w:rPr>
        <w:t>Голов</w:t>
      </w:r>
      <w:r w:rsidR="009A4C87" w:rsidRPr="006A4853">
        <w:rPr>
          <w:sz w:val="24"/>
          <w:szCs w:val="24"/>
        </w:rPr>
        <w:t>а</w:t>
      </w:r>
      <w:r w:rsidRPr="006A4853">
        <w:rPr>
          <w:sz w:val="24"/>
          <w:szCs w:val="24"/>
        </w:rPr>
        <w:t xml:space="preserve"> Комітету                                                           </w:t>
      </w:r>
      <w:r w:rsidR="00783AC2" w:rsidRPr="006A4853">
        <w:rPr>
          <w:sz w:val="24"/>
          <w:szCs w:val="24"/>
        </w:rPr>
        <w:t xml:space="preserve">           </w:t>
      </w:r>
      <w:r w:rsidRPr="006A4853">
        <w:rPr>
          <w:sz w:val="24"/>
          <w:szCs w:val="24"/>
        </w:rPr>
        <w:t xml:space="preserve">        </w:t>
      </w:r>
      <w:r w:rsidR="001F6C08" w:rsidRPr="006A4853">
        <w:rPr>
          <w:sz w:val="24"/>
          <w:szCs w:val="24"/>
        </w:rPr>
        <w:t xml:space="preserve">        </w:t>
      </w:r>
      <w:r w:rsidR="00230656">
        <w:rPr>
          <w:sz w:val="24"/>
          <w:szCs w:val="24"/>
        </w:rPr>
        <w:t xml:space="preserve">    </w:t>
      </w:r>
      <w:r w:rsidR="00A51CFA">
        <w:rPr>
          <w:sz w:val="24"/>
          <w:szCs w:val="24"/>
        </w:rPr>
        <w:t>О</w:t>
      </w:r>
      <w:r w:rsidR="00365789">
        <w:rPr>
          <w:sz w:val="24"/>
          <w:szCs w:val="24"/>
        </w:rPr>
        <w:t>льга</w:t>
      </w:r>
      <w:r w:rsidR="00A51CFA">
        <w:rPr>
          <w:sz w:val="24"/>
          <w:szCs w:val="24"/>
        </w:rPr>
        <w:t xml:space="preserve"> ПІЩАНСЬКА</w:t>
      </w:r>
      <w:r w:rsidRPr="006A4853">
        <w:rPr>
          <w:sz w:val="24"/>
          <w:szCs w:val="24"/>
        </w:rPr>
        <w:t xml:space="preserve">       </w:t>
      </w:r>
    </w:p>
    <w:sectPr w:rsidR="0094773B" w:rsidRPr="006A4853" w:rsidSect="00A24DB4">
      <w:headerReference w:type="default" r:id="rId36"/>
      <w:footerReference w:type="default" r:id="rId37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312" w:rsidRDefault="009B2312">
      <w:r>
        <w:separator/>
      </w:r>
    </w:p>
  </w:endnote>
  <w:endnote w:type="continuationSeparator" w:id="0">
    <w:p w:rsidR="009B2312" w:rsidRDefault="009B2312">
      <w:r>
        <w:continuationSeparator/>
      </w:r>
    </w:p>
  </w:endnote>
  <w:endnote w:type="continuationNotice" w:id="1">
    <w:p w:rsidR="009B2312" w:rsidRDefault="009B23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84E" w:rsidRDefault="0056584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312" w:rsidRDefault="009B2312">
      <w:r>
        <w:separator/>
      </w:r>
    </w:p>
  </w:footnote>
  <w:footnote w:type="continuationSeparator" w:id="0">
    <w:p w:rsidR="009B2312" w:rsidRDefault="009B2312">
      <w:r>
        <w:continuationSeparator/>
      </w:r>
    </w:p>
  </w:footnote>
  <w:footnote w:type="continuationNotice" w:id="1">
    <w:p w:rsidR="009B2312" w:rsidRDefault="009B2312"/>
  </w:footnote>
  <w:footnote w:id="2">
    <w:p w:rsidR="00374D72" w:rsidRPr="00374D72" w:rsidRDefault="00374D72" w:rsidP="00AA6B50">
      <w:pPr>
        <w:pStyle w:val="af7"/>
        <w:jc w:val="both"/>
        <w:rPr>
          <w:lang w:val="uk-UA"/>
        </w:rPr>
      </w:pPr>
      <w:r>
        <w:rPr>
          <w:rStyle w:val="af9"/>
        </w:rPr>
        <w:footnoteRef/>
      </w:r>
      <w:r>
        <w:rPr>
          <w:lang w:val="uk-UA"/>
        </w:rPr>
        <w:t xml:space="preserve">Комітет </w:t>
      </w:r>
      <w:r w:rsidR="004229DE">
        <w:rPr>
          <w:bCs/>
          <w:lang w:val="uk-UA"/>
        </w:rPr>
        <w:t>р</w:t>
      </w:r>
      <w:r w:rsidRPr="00BB2B4D">
        <w:rPr>
          <w:bCs/>
          <w:lang w:val="uk-UA"/>
        </w:rPr>
        <w:t xml:space="preserve">ішенням від 11 червня 2021 року № 367-р надав дозвіл </w:t>
      </w:r>
      <w:r w:rsidRPr="00BB2B4D">
        <w:rPr>
          <w:color w:val="000000"/>
          <w:lang w:val="uk-UA"/>
        </w:rPr>
        <w:t>компанії «</w:t>
      </w:r>
      <w:hyperlink r:id="rId1" w:tgtFrame="_blank" w:history="1">
        <w:r w:rsidRPr="00BB2B4D">
          <w:rPr>
            <w:color w:val="000000"/>
            <w:lang w:val="uk-UA"/>
          </w:rPr>
          <w:t>Special  Packaging  Solutions Investments S.à r.l.» </w:t>
        </w:r>
      </w:hyperlink>
      <w:r w:rsidRPr="00BB2B4D">
        <w:rPr>
          <w:color w:val="000000"/>
          <w:lang w:val="uk-UA"/>
        </w:rPr>
        <w:t xml:space="preserve">(м. Люксембург, Велике Герцогство Люксембург) на придбання акцій компанії «Guala </w:t>
      </w:r>
      <w:proofErr w:type="spellStart"/>
      <w:r w:rsidRPr="00BB2B4D">
        <w:rPr>
          <w:color w:val="000000"/>
          <w:lang w:val="uk-UA"/>
        </w:rPr>
        <w:t>Closures</w:t>
      </w:r>
      <w:proofErr w:type="spellEnd"/>
      <w:r w:rsidRPr="00BB2B4D">
        <w:rPr>
          <w:color w:val="000000"/>
          <w:lang w:val="uk-UA"/>
        </w:rPr>
        <w:t xml:space="preserve"> S.p.A.» (м. </w:t>
      </w:r>
      <w:proofErr w:type="spellStart"/>
      <w:r w:rsidRPr="00BB2B4D">
        <w:rPr>
          <w:color w:val="000000"/>
          <w:lang w:val="uk-UA"/>
        </w:rPr>
        <w:t>Спінетта</w:t>
      </w:r>
      <w:proofErr w:type="spellEnd"/>
      <w:r w:rsidRPr="00BB2B4D">
        <w:rPr>
          <w:color w:val="000000"/>
          <w:lang w:val="uk-UA"/>
        </w:rPr>
        <w:t xml:space="preserve"> Маренго, Італія), що забезпечить перевищення 50 відсотків голосів у вищому органі управління компанії</w:t>
      </w:r>
      <w:r>
        <w:rPr>
          <w:color w:val="000000"/>
          <w:lang w:val="uk-UA"/>
        </w:rPr>
        <w:t xml:space="preserve">. </w:t>
      </w:r>
      <w:r w:rsidR="004229DE">
        <w:rPr>
          <w:color w:val="000000"/>
          <w:lang w:val="uk-UA"/>
        </w:rPr>
        <w:t>Н</w:t>
      </w:r>
      <w:r>
        <w:rPr>
          <w:color w:val="000000"/>
          <w:lang w:val="uk-UA"/>
        </w:rPr>
        <w:t xml:space="preserve">а дату підготовки подання з попередніми висновками у справі </w:t>
      </w:r>
      <w:r>
        <w:rPr>
          <w:szCs w:val="24"/>
          <w:lang w:val="uk-UA"/>
        </w:rPr>
        <w:t>концентрація відбулась</w:t>
      </w:r>
      <w:r w:rsidR="00911BA8">
        <w:rPr>
          <w:szCs w:val="24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84E" w:rsidRDefault="0056584E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4FE3">
      <w:rPr>
        <w:rStyle w:val="a4"/>
        <w:noProof/>
      </w:rPr>
      <w:t>5</w:t>
    </w:r>
    <w:r>
      <w:rPr>
        <w:rStyle w:val="a4"/>
      </w:rPr>
      <w:fldChar w:fldCharType="end"/>
    </w:r>
  </w:p>
  <w:p w:rsidR="0056584E" w:rsidRDefault="005658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26BB"/>
    <w:multiLevelType w:val="multilevel"/>
    <w:tmpl w:val="D1D6896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 w15:restartNumberingAfterBreak="0">
    <w:nsid w:val="05652AE1"/>
    <w:multiLevelType w:val="hybridMultilevel"/>
    <w:tmpl w:val="2E8278B8"/>
    <w:lvl w:ilvl="0" w:tplc="EBF6F56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762E0D"/>
    <w:multiLevelType w:val="hybridMultilevel"/>
    <w:tmpl w:val="70865ECA"/>
    <w:lvl w:ilvl="0" w:tplc="8ECEF4AC">
      <w:start w:val="8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18" w:hanging="360"/>
      </w:pPr>
    </w:lvl>
    <w:lvl w:ilvl="2" w:tplc="0419001B" w:tentative="1">
      <w:start w:val="1"/>
      <w:numFmt w:val="lowerRoman"/>
      <w:lvlText w:val="%3."/>
      <w:lvlJc w:val="right"/>
      <w:pPr>
        <w:ind w:left="502" w:hanging="180"/>
      </w:pPr>
    </w:lvl>
    <w:lvl w:ilvl="3" w:tplc="0419000F" w:tentative="1">
      <w:start w:val="1"/>
      <w:numFmt w:val="decimal"/>
      <w:lvlText w:val="%4."/>
      <w:lvlJc w:val="left"/>
      <w:pPr>
        <w:ind w:left="1222" w:hanging="360"/>
      </w:pPr>
    </w:lvl>
    <w:lvl w:ilvl="4" w:tplc="04190019" w:tentative="1">
      <w:start w:val="1"/>
      <w:numFmt w:val="lowerLetter"/>
      <w:lvlText w:val="%5."/>
      <w:lvlJc w:val="left"/>
      <w:pPr>
        <w:ind w:left="1942" w:hanging="360"/>
      </w:pPr>
    </w:lvl>
    <w:lvl w:ilvl="5" w:tplc="0419001B" w:tentative="1">
      <w:start w:val="1"/>
      <w:numFmt w:val="lowerRoman"/>
      <w:lvlText w:val="%6."/>
      <w:lvlJc w:val="right"/>
      <w:pPr>
        <w:ind w:left="2662" w:hanging="180"/>
      </w:pPr>
    </w:lvl>
    <w:lvl w:ilvl="6" w:tplc="0419000F" w:tentative="1">
      <w:start w:val="1"/>
      <w:numFmt w:val="decimal"/>
      <w:lvlText w:val="%7."/>
      <w:lvlJc w:val="left"/>
      <w:pPr>
        <w:ind w:left="3382" w:hanging="360"/>
      </w:pPr>
    </w:lvl>
    <w:lvl w:ilvl="7" w:tplc="04190019" w:tentative="1">
      <w:start w:val="1"/>
      <w:numFmt w:val="lowerLetter"/>
      <w:lvlText w:val="%8."/>
      <w:lvlJc w:val="left"/>
      <w:pPr>
        <w:ind w:left="4102" w:hanging="360"/>
      </w:pPr>
    </w:lvl>
    <w:lvl w:ilvl="8" w:tplc="0419001B" w:tentative="1">
      <w:start w:val="1"/>
      <w:numFmt w:val="lowerRoman"/>
      <w:lvlText w:val="%9."/>
      <w:lvlJc w:val="right"/>
      <w:pPr>
        <w:ind w:left="4822" w:hanging="180"/>
      </w:pPr>
    </w:lvl>
  </w:abstractNum>
  <w:abstractNum w:abstractNumId="4" w15:restartNumberingAfterBreak="0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E24869"/>
    <w:multiLevelType w:val="hybridMultilevel"/>
    <w:tmpl w:val="2ACE7F98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54DF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EA3EB2"/>
    <w:multiLevelType w:val="hybridMultilevel"/>
    <w:tmpl w:val="ED989AC2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F01602"/>
    <w:multiLevelType w:val="multilevel"/>
    <w:tmpl w:val="2CEEFDFE"/>
    <w:lvl w:ilvl="0">
      <w:start w:val="7"/>
      <w:numFmt w:val="decimal"/>
      <w:lvlText w:val="(%1)"/>
      <w:lvlJc w:val="left"/>
      <w:pPr>
        <w:ind w:left="1160" w:hanging="450"/>
      </w:pPr>
      <w:rPr>
        <w:rFonts w:hint="default"/>
        <w:i w:val="0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39D6DA4"/>
    <w:multiLevelType w:val="hybridMultilevel"/>
    <w:tmpl w:val="97FADEE2"/>
    <w:lvl w:ilvl="0" w:tplc="57EEB4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727EF4"/>
    <w:multiLevelType w:val="hybridMultilevel"/>
    <w:tmpl w:val="99420B62"/>
    <w:lvl w:ilvl="0" w:tplc="8604A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641B18"/>
    <w:multiLevelType w:val="multilevel"/>
    <w:tmpl w:val="3EF80046"/>
    <w:lvl w:ilvl="0">
      <w:start w:val="13"/>
      <w:numFmt w:val="decimal"/>
      <w:lvlText w:val="(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E76A18"/>
    <w:multiLevelType w:val="hybridMultilevel"/>
    <w:tmpl w:val="DBF4C46E"/>
    <w:lvl w:ilvl="0" w:tplc="1E56452E">
      <w:start w:val="14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50B5E"/>
    <w:multiLevelType w:val="hybridMultilevel"/>
    <w:tmpl w:val="7B12CBEC"/>
    <w:lvl w:ilvl="0" w:tplc="D4D48B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0A449C"/>
    <w:multiLevelType w:val="multilevel"/>
    <w:tmpl w:val="DC4A8DD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(%2)"/>
      <w:lvlJc w:val="left"/>
      <w:pPr>
        <w:ind w:left="862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75437BC"/>
    <w:multiLevelType w:val="multilevel"/>
    <w:tmpl w:val="1E3A1336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4"/>
      <w:numFmt w:val="decimal"/>
      <w:lvlText w:val="(%2)"/>
      <w:lvlJc w:val="left"/>
      <w:pPr>
        <w:ind w:left="862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BB702C8"/>
    <w:multiLevelType w:val="hybridMultilevel"/>
    <w:tmpl w:val="11069220"/>
    <w:lvl w:ilvl="0" w:tplc="BF024FD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C5E7F06"/>
    <w:multiLevelType w:val="hybridMultilevel"/>
    <w:tmpl w:val="B59EEB12"/>
    <w:lvl w:ilvl="0" w:tplc="1C7870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320CF"/>
    <w:multiLevelType w:val="multilevel"/>
    <w:tmpl w:val="D1D6896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81B4F9B"/>
    <w:multiLevelType w:val="hybridMultilevel"/>
    <w:tmpl w:val="3AB494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2F2C1E"/>
    <w:multiLevelType w:val="hybridMultilevel"/>
    <w:tmpl w:val="DE38C236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3E6624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64354"/>
    <w:multiLevelType w:val="multilevel"/>
    <w:tmpl w:val="22C66534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76E04073"/>
    <w:multiLevelType w:val="hybridMultilevel"/>
    <w:tmpl w:val="223A79BC"/>
    <w:lvl w:ilvl="0" w:tplc="A93A9DF2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7AC49DA"/>
    <w:multiLevelType w:val="multilevel"/>
    <w:tmpl w:val="4A867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24" w15:restartNumberingAfterBreak="0">
    <w:nsid w:val="7CC30FA0"/>
    <w:multiLevelType w:val="hybridMultilevel"/>
    <w:tmpl w:val="982C3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16"/>
  </w:num>
  <w:num w:numId="3">
    <w:abstractNumId w:val="4"/>
  </w:num>
  <w:num w:numId="4">
    <w:abstractNumId w:val="23"/>
  </w:num>
  <w:num w:numId="5">
    <w:abstractNumId w:val="20"/>
  </w:num>
  <w:num w:numId="6">
    <w:abstractNumId w:val="9"/>
  </w:num>
  <w:num w:numId="7">
    <w:abstractNumId w:val="17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5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25"/>
  </w:num>
  <w:num w:numId="16">
    <w:abstractNumId w:val="25"/>
    <w:lvlOverride w:ilvl="0">
      <w:lvl w:ilvl="0">
        <w:start w:val="1"/>
        <w:numFmt w:val="decimal"/>
        <w:pStyle w:val="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>
    <w:abstractNumId w:val="25"/>
  </w:num>
  <w:num w:numId="18">
    <w:abstractNumId w:val="25"/>
  </w:num>
  <w:num w:numId="19">
    <w:abstractNumId w:val="7"/>
  </w:num>
  <w:num w:numId="20">
    <w:abstractNumId w:val="5"/>
  </w:num>
  <w:num w:numId="21">
    <w:abstractNumId w:val="6"/>
  </w:num>
  <w:num w:numId="22">
    <w:abstractNumId w:val="11"/>
  </w:num>
  <w:num w:numId="23">
    <w:abstractNumId w:val="18"/>
  </w:num>
  <w:num w:numId="24">
    <w:abstractNumId w:val="8"/>
  </w:num>
  <w:num w:numId="25">
    <w:abstractNumId w:val="13"/>
  </w:num>
  <w:num w:numId="26">
    <w:abstractNumId w:val="25"/>
  </w:num>
  <w:num w:numId="27">
    <w:abstractNumId w:val="25"/>
  </w:num>
  <w:num w:numId="28">
    <w:abstractNumId w:val="24"/>
  </w:num>
  <w:num w:numId="29">
    <w:abstractNumId w:val="10"/>
  </w:num>
  <w:num w:numId="30">
    <w:abstractNumId w:val="25"/>
  </w:num>
  <w:num w:numId="31">
    <w:abstractNumId w:val="14"/>
  </w:num>
  <w:num w:numId="32">
    <w:abstractNumId w:val="3"/>
  </w:num>
  <w:num w:numId="33">
    <w:abstractNumId w:val="15"/>
  </w:num>
  <w:num w:numId="34">
    <w:abstractNumId w:val="12"/>
  </w:num>
  <w:num w:numId="35">
    <w:abstractNumId w:val="21"/>
  </w:num>
  <w:num w:numId="36">
    <w:abstractNumId w:val="2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62C"/>
    <w:rsid w:val="00002CC2"/>
    <w:rsid w:val="00005053"/>
    <w:rsid w:val="000075B3"/>
    <w:rsid w:val="00013E43"/>
    <w:rsid w:val="000145BD"/>
    <w:rsid w:val="000162FA"/>
    <w:rsid w:val="00023929"/>
    <w:rsid w:val="0002595D"/>
    <w:rsid w:val="00027050"/>
    <w:rsid w:val="000306F5"/>
    <w:rsid w:val="000416C9"/>
    <w:rsid w:val="0004507A"/>
    <w:rsid w:val="000456EA"/>
    <w:rsid w:val="00046FA9"/>
    <w:rsid w:val="000566A2"/>
    <w:rsid w:val="00057401"/>
    <w:rsid w:val="00065A8E"/>
    <w:rsid w:val="00066B27"/>
    <w:rsid w:val="00075FEB"/>
    <w:rsid w:val="0008109F"/>
    <w:rsid w:val="00081428"/>
    <w:rsid w:val="00081591"/>
    <w:rsid w:val="00084588"/>
    <w:rsid w:val="000878AC"/>
    <w:rsid w:val="00091304"/>
    <w:rsid w:val="0009764A"/>
    <w:rsid w:val="000A373E"/>
    <w:rsid w:val="000A7CCE"/>
    <w:rsid w:val="000B2A66"/>
    <w:rsid w:val="000B4E4A"/>
    <w:rsid w:val="000B55AF"/>
    <w:rsid w:val="000B5643"/>
    <w:rsid w:val="000C35D8"/>
    <w:rsid w:val="000C40DC"/>
    <w:rsid w:val="000C5315"/>
    <w:rsid w:val="000C74CD"/>
    <w:rsid w:val="000D25BB"/>
    <w:rsid w:val="000D3049"/>
    <w:rsid w:val="000E05EA"/>
    <w:rsid w:val="000F174B"/>
    <w:rsid w:val="000F3606"/>
    <w:rsid w:val="000F41C0"/>
    <w:rsid w:val="000F5C7F"/>
    <w:rsid w:val="000F77BE"/>
    <w:rsid w:val="00104449"/>
    <w:rsid w:val="001046B5"/>
    <w:rsid w:val="00110106"/>
    <w:rsid w:val="00111F74"/>
    <w:rsid w:val="00113847"/>
    <w:rsid w:val="00116448"/>
    <w:rsid w:val="00120C5D"/>
    <w:rsid w:val="001213C3"/>
    <w:rsid w:val="0012256F"/>
    <w:rsid w:val="00126F3B"/>
    <w:rsid w:val="001276E0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3530"/>
    <w:rsid w:val="00154AB7"/>
    <w:rsid w:val="001603AC"/>
    <w:rsid w:val="0016462C"/>
    <w:rsid w:val="00177C1F"/>
    <w:rsid w:val="00180C5B"/>
    <w:rsid w:val="00192A09"/>
    <w:rsid w:val="001945DF"/>
    <w:rsid w:val="001951ED"/>
    <w:rsid w:val="001A7DB8"/>
    <w:rsid w:val="001B1741"/>
    <w:rsid w:val="001C15EE"/>
    <w:rsid w:val="001C5CA7"/>
    <w:rsid w:val="001D0AAC"/>
    <w:rsid w:val="001D6DAC"/>
    <w:rsid w:val="001E0B39"/>
    <w:rsid w:val="001E287C"/>
    <w:rsid w:val="001E4E9D"/>
    <w:rsid w:val="001E560B"/>
    <w:rsid w:val="001F334F"/>
    <w:rsid w:val="001F612B"/>
    <w:rsid w:val="001F6192"/>
    <w:rsid w:val="001F6C08"/>
    <w:rsid w:val="00211F19"/>
    <w:rsid w:val="00216886"/>
    <w:rsid w:val="0022560F"/>
    <w:rsid w:val="002263D5"/>
    <w:rsid w:val="00226DAF"/>
    <w:rsid w:val="002302AE"/>
    <w:rsid w:val="00230656"/>
    <w:rsid w:val="002326BD"/>
    <w:rsid w:val="00235914"/>
    <w:rsid w:val="00256A67"/>
    <w:rsid w:val="002621C5"/>
    <w:rsid w:val="002655AD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5143"/>
    <w:rsid w:val="00290272"/>
    <w:rsid w:val="002922C6"/>
    <w:rsid w:val="0029288D"/>
    <w:rsid w:val="00293001"/>
    <w:rsid w:val="002945CA"/>
    <w:rsid w:val="002947B7"/>
    <w:rsid w:val="00294D7F"/>
    <w:rsid w:val="002A18E7"/>
    <w:rsid w:val="002A1B59"/>
    <w:rsid w:val="002A64EC"/>
    <w:rsid w:val="002A6C79"/>
    <w:rsid w:val="002A7813"/>
    <w:rsid w:val="002A7D15"/>
    <w:rsid w:val="002B4F8C"/>
    <w:rsid w:val="002C12FB"/>
    <w:rsid w:val="002C1DE1"/>
    <w:rsid w:val="002D011D"/>
    <w:rsid w:val="002D5871"/>
    <w:rsid w:val="002D6C0A"/>
    <w:rsid w:val="002E1091"/>
    <w:rsid w:val="002F38BA"/>
    <w:rsid w:val="002F4E7E"/>
    <w:rsid w:val="002F669B"/>
    <w:rsid w:val="002F7F80"/>
    <w:rsid w:val="003056B9"/>
    <w:rsid w:val="00305F33"/>
    <w:rsid w:val="003115DC"/>
    <w:rsid w:val="003167FE"/>
    <w:rsid w:val="00326A9C"/>
    <w:rsid w:val="00327082"/>
    <w:rsid w:val="00330FBD"/>
    <w:rsid w:val="00333AF0"/>
    <w:rsid w:val="0033648A"/>
    <w:rsid w:val="003374E7"/>
    <w:rsid w:val="00337551"/>
    <w:rsid w:val="00337CF0"/>
    <w:rsid w:val="00340CF3"/>
    <w:rsid w:val="00341334"/>
    <w:rsid w:val="003473B7"/>
    <w:rsid w:val="0035427F"/>
    <w:rsid w:val="00356538"/>
    <w:rsid w:val="00363A67"/>
    <w:rsid w:val="00365789"/>
    <w:rsid w:val="0036589C"/>
    <w:rsid w:val="00366EB9"/>
    <w:rsid w:val="00374D72"/>
    <w:rsid w:val="00381607"/>
    <w:rsid w:val="00381F4B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4714"/>
    <w:rsid w:val="003B658F"/>
    <w:rsid w:val="003C2F71"/>
    <w:rsid w:val="003C44BC"/>
    <w:rsid w:val="003C5CD5"/>
    <w:rsid w:val="003C5EFB"/>
    <w:rsid w:val="003C7578"/>
    <w:rsid w:val="003D05DE"/>
    <w:rsid w:val="003D1395"/>
    <w:rsid w:val="003D4460"/>
    <w:rsid w:val="003D51BC"/>
    <w:rsid w:val="003E3201"/>
    <w:rsid w:val="003E33F3"/>
    <w:rsid w:val="003E526E"/>
    <w:rsid w:val="003F5487"/>
    <w:rsid w:val="003F7B46"/>
    <w:rsid w:val="003F7E03"/>
    <w:rsid w:val="004024D1"/>
    <w:rsid w:val="00410FA1"/>
    <w:rsid w:val="00415593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7150"/>
    <w:rsid w:val="004444A4"/>
    <w:rsid w:val="00444A65"/>
    <w:rsid w:val="00446D3E"/>
    <w:rsid w:val="0045031E"/>
    <w:rsid w:val="00451931"/>
    <w:rsid w:val="00454F3D"/>
    <w:rsid w:val="0045549B"/>
    <w:rsid w:val="004625EB"/>
    <w:rsid w:val="00464833"/>
    <w:rsid w:val="00465689"/>
    <w:rsid w:val="00465F6B"/>
    <w:rsid w:val="0046682E"/>
    <w:rsid w:val="00470811"/>
    <w:rsid w:val="004722A4"/>
    <w:rsid w:val="00476E9D"/>
    <w:rsid w:val="00477DE0"/>
    <w:rsid w:val="00487F97"/>
    <w:rsid w:val="004A1DEF"/>
    <w:rsid w:val="004A3354"/>
    <w:rsid w:val="004A470F"/>
    <w:rsid w:val="004A7652"/>
    <w:rsid w:val="004B575D"/>
    <w:rsid w:val="004B728D"/>
    <w:rsid w:val="004C1D5E"/>
    <w:rsid w:val="004C21A4"/>
    <w:rsid w:val="004C6E6D"/>
    <w:rsid w:val="004D07EF"/>
    <w:rsid w:val="004D1D3D"/>
    <w:rsid w:val="004D5730"/>
    <w:rsid w:val="004D700E"/>
    <w:rsid w:val="004D7A66"/>
    <w:rsid w:val="004E5C4F"/>
    <w:rsid w:val="004E6B7D"/>
    <w:rsid w:val="004E6C43"/>
    <w:rsid w:val="004F05E6"/>
    <w:rsid w:val="004F18F9"/>
    <w:rsid w:val="004F2350"/>
    <w:rsid w:val="004F29B5"/>
    <w:rsid w:val="004F5BF5"/>
    <w:rsid w:val="004F5EA2"/>
    <w:rsid w:val="004F5F33"/>
    <w:rsid w:val="00503195"/>
    <w:rsid w:val="00521907"/>
    <w:rsid w:val="00530A08"/>
    <w:rsid w:val="00536499"/>
    <w:rsid w:val="00537E85"/>
    <w:rsid w:val="005408B8"/>
    <w:rsid w:val="00541EE8"/>
    <w:rsid w:val="00542DE8"/>
    <w:rsid w:val="005438FA"/>
    <w:rsid w:val="00545334"/>
    <w:rsid w:val="005465D9"/>
    <w:rsid w:val="0055693D"/>
    <w:rsid w:val="005611E4"/>
    <w:rsid w:val="005621DB"/>
    <w:rsid w:val="00562F81"/>
    <w:rsid w:val="00562FDB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750D"/>
    <w:rsid w:val="005A22F7"/>
    <w:rsid w:val="005B358B"/>
    <w:rsid w:val="005B3E35"/>
    <w:rsid w:val="005B4245"/>
    <w:rsid w:val="005B5699"/>
    <w:rsid w:val="005C315E"/>
    <w:rsid w:val="005D2EFE"/>
    <w:rsid w:val="005D3F1C"/>
    <w:rsid w:val="005E57E4"/>
    <w:rsid w:val="005E62A2"/>
    <w:rsid w:val="005F2664"/>
    <w:rsid w:val="005F3215"/>
    <w:rsid w:val="005F7A2D"/>
    <w:rsid w:val="0060513F"/>
    <w:rsid w:val="00613CE1"/>
    <w:rsid w:val="006210F8"/>
    <w:rsid w:val="00627DA7"/>
    <w:rsid w:val="00632DFA"/>
    <w:rsid w:val="006370EA"/>
    <w:rsid w:val="0064003D"/>
    <w:rsid w:val="00653799"/>
    <w:rsid w:val="006558FA"/>
    <w:rsid w:val="0065609F"/>
    <w:rsid w:val="00665F99"/>
    <w:rsid w:val="00671D3D"/>
    <w:rsid w:val="00672357"/>
    <w:rsid w:val="00681F67"/>
    <w:rsid w:val="00692180"/>
    <w:rsid w:val="006957D6"/>
    <w:rsid w:val="006A045A"/>
    <w:rsid w:val="006A219E"/>
    <w:rsid w:val="006A28E0"/>
    <w:rsid w:val="006A3CE4"/>
    <w:rsid w:val="006A4853"/>
    <w:rsid w:val="006A7479"/>
    <w:rsid w:val="006B37FC"/>
    <w:rsid w:val="006B559C"/>
    <w:rsid w:val="006B71C2"/>
    <w:rsid w:val="006C01A2"/>
    <w:rsid w:val="006C61C5"/>
    <w:rsid w:val="006D100F"/>
    <w:rsid w:val="006E05F6"/>
    <w:rsid w:val="006E2A9D"/>
    <w:rsid w:val="006E4DD7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7D1C"/>
    <w:rsid w:val="0072359A"/>
    <w:rsid w:val="00733F2B"/>
    <w:rsid w:val="00735667"/>
    <w:rsid w:val="00740F8C"/>
    <w:rsid w:val="00743975"/>
    <w:rsid w:val="00744AED"/>
    <w:rsid w:val="00747648"/>
    <w:rsid w:val="007513B8"/>
    <w:rsid w:val="007517AE"/>
    <w:rsid w:val="007569F7"/>
    <w:rsid w:val="00760346"/>
    <w:rsid w:val="0076451B"/>
    <w:rsid w:val="00765C30"/>
    <w:rsid w:val="0076663A"/>
    <w:rsid w:val="00774321"/>
    <w:rsid w:val="00774C40"/>
    <w:rsid w:val="00777D48"/>
    <w:rsid w:val="007801E6"/>
    <w:rsid w:val="00783AC2"/>
    <w:rsid w:val="0078495C"/>
    <w:rsid w:val="007900DC"/>
    <w:rsid w:val="007A11FA"/>
    <w:rsid w:val="007A2E3B"/>
    <w:rsid w:val="007A486A"/>
    <w:rsid w:val="007B08BA"/>
    <w:rsid w:val="007B373C"/>
    <w:rsid w:val="007B38A7"/>
    <w:rsid w:val="007B395C"/>
    <w:rsid w:val="007B7A66"/>
    <w:rsid w:val="007C0DF8"/>
    <w:rsid w:val="007C1204"/>
    <w:rsid w:val="007C4DBA"/>
    <w:rsid w:val="007C5018"/>
    <w:rsid w:val="007D0381"/>
    <w:rsid w:val="007D771B"/>
    <w:rsid w:val="007E70C1"/>
    <w:rsid w:val="007E77D6"/>
    <w:rsid w:val="007F0417"/>
    <w:rsid w:val="00800CB0"/>
    <w:rsid w:val="008068BA"/>
    <w:rsid w:val="00812D7C"/>
    <w:rsid w:val="00813030"/>
    <w:rsid w:val="00813B5F"/>
    <w:rsid w:val="00817AC5"/>
    <w:rsid w:val="00821ADA"/>
    <w:rsid w:val="00824D03"/>
    <w:rsid w:val="008266C0"/>
    <w:rsid w:val="00827DFD"/>
    <w:rsid w:val="00831C9D"/>
    <w:rsid w:val="00843FE1"/>
    <w:rsid w:val="00844657"/>
    <w:rsid w:val="008455A5"/>
    <w:rsid w:val="008463EC"/>
    <w:rsid w:val="00850657"/>
    <w:rsid w:val="00865C3A"/>
    <w:rsid w:val="008673DE"/>
    <w:rsid w:val="00867882"/>
    <w:rsid w:val="00870F9D"/>
    <w:rsid w:val="0087178B"/>
    <w:rsid w:val="00871892"/>
    <w:rsid w:val="00880313"/>
    <w:rsid w:val="008843B3"/>
    <w:rsid w:val="00884D1B"/>
    <w:rsid w:val="00894C51"/>
    <w:rsid w:val="00897FF2"/>
    <w:rsid w:val="008A5F4E"/>
    <w:rsid w:val="008A76B2"/>
    <w:rsid w:val="008B3398"/>
    <w:rsid w:val="008B3D17"/>
    <w:rsid w:val="008B78C3"/>
    <w:rsid w:val="008C5AE6"/>
    <w:rsid w:val="008C5C11"/>
    <w:rsid w:val="008C7F84"/>
    <w:rsid w:val="008D568A"/>
    <w:rsid w:val="008D7C70"/>
    <w:rsid w:val="008E2292"/>
    <w:rsid w:val="008E707A"/>
    <w:rsid w:val="008F1D8E"/>
    <w:rsid w:val="009049B6"/>
    <w:rsid w:val="009060CA"/>
    <w:rsid w:val="00911BA8"/>
    <w:rsid w:val="00926DD8"/>
    <w:rsid w:val="0093005F"/>
    <w:rsid w:val="00931743"/>
    <w:rsid w:val="0093736C"/>
    <w:rsid w:val="00937EB9"/>
    <w:rsid w:val="00941DC4"/>
    <w:rsid w:val="0094773B"/>
    <w:rsid w:val="009501D0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3A4E"/>
    <w:rsid w:val="00980E23"/>
    <w:rsid w:val="00990445"/>
    <w:rsid w:val="009948C5"/>
    <w:rsid w:val="009A3EF8"/>
    <w:rsid w:val="009A4C87"/>
    <w:rsid w:val="009B2312"/>
    <w:rsid w:val="009B7472"/>
    <w:rsid w:val="009B7795"/>
    <w:rsid w:val="009C2AE8"/>
    <w:rsid w:val="009D279E"/>
    <w:rsid w:val="009F0E8D"/>
    <w:rsid w:val="009F2294"/>
    <w:rsid w:val="009F4A31"/>
    <w:rsid w:val="009F5F8F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627F"/>
    <w:rsid w:val="00A32E19"/>
    <w:rsid w:val="00A36DA1"/>
    <w:rsid w:val="00A40600"/>
    <w:rsid w:val="00A51CFA"/>
    <w:rsid w:val="00A63EE8"/>
    <w:rsid w:val="00A67250"/>
    <w:rsid w:val="00A71F38"/>
    <w:rsid w:val="00A837A2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588D"/>
    <w:rsid w:val="00AB627D"/>
    <w:rsid w:val="00AB78B0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52A3"/>
    <w:rsid w:val="00AF1B28"/>
    <w:rsid w:val="00AF437F"/>
    <w:rsid w:val="00AF4560"/>
    <w:rsid w:val="00AF6937"/>
    <w:rsid w:val="00B04821"/>
    <w:rsid w:val="00B05FE0"/>
    <w:rsid w:val="00B06DFD"/>
    <w:rsid w:val="00B2012D"/>
    <w:rsid w:val="00B20ACA"/>
    <w:rsid w:val="00B21C9C"/>
    <w:rsid w:val="00B22D8B"/>
    <w:rsid w:val="00B36219"/>
    <w:rsid w:val="00B365EE"/>
    <w:rsid w:val="00B379DD"/>
    <w:rsid w:val="00B40410"/>
    <w:rsid w:val="00B42361"/>
    <w:rsid w:val="00B446DA"/>
    <w:rsid w:val="00B45103"/>
    <w:rsid w:val="00B51A2B"/>
    <w:rsid w:val="00B52BEF"/>
    <w:rsid w:val="00B53577"/>
    <w:rsid w:val="00B5434F"/>
    <w:rsid w:val="00B60BAE"/>
    <w:rsid w:val="00B7734A"/>
    <w:rsid w:val="00B77AF5"/>
    <w:rsid w:val="00B83532"/>
    <w:rsid w:val="00B9001F"/>
    <w:rsid w:val="00B90CF0"/>
    <w:rsid w:val="00B9157D"/>
    <w:rsid w:val="00B939FF"/>
    <w:rsid w:val="00B978A0"/>
    <w:rsid w:val="00BA1937"/>
    <w:rsid w:val="00BA5F75"/>
    <w:rsid w:val="00BB03B0"/>
    <w:rsid w:val="00BB0739"/>
    <w:rsid w:val="00BB2B4D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217"/>
    <w:rsid w:val="00BE7B77"/>
    <w:rsid w:val="00BF43F6"/>
    <w:rsid w:val="00BF4849"/>
    <w:rsid w:val="00C03605"/>
    <w:rsid w:val="00C04FE3"/>
    <w:rsid w:val="00C05D10"/>
    <w:rsid w:val="00C07EAC"/>
    <w:rsid w:val="00C12EB6"/>
    <w:rsid w:val="00C17D8E"/>
    <w:rsid w:val="00C200C4"/>
    <w:rsid w:val="00C20B7F"/>
    <w:rsid w:val="00C21232"/>
    <w:rsid w:val="00C347F8"/>
    <w:rsid w:val="00C431CB"/>
    <w:rsid w:val="00C46D47"/>
    <w:rsid w:val="00C5033D"/>
    <w:rsid w:val="00C50D58"/>
    <w:rsid w:val="00C53E5A"/>
    <w:rsid w:val="00C570F1"/>
    <w:rsid w:val="00C60C86"/>
    <w:rsid w:val="00C62661"/>
    <w:rsid w:val="00C6660C"/>
    <w:rsid w:val="00C67EB9"/>
    <w:rsid w:val="00C7435B"/>
    <w:rsid w:val="00C76F5A"/>
    <w:rsid w:val="00C7719C"/>
    <w:rsid w:val="00C8443E"/>
    <w:rsid w:val="00C908DF"/>
    <w:rsid w:val="00C93214"/>
    <w:rsid w:val="00C950CD"/>
    <w:rsid w:val="00C97F0B"/>
    <w:rsid w:val="00CA1C8A"/>
    <w:rsid w:val="00CA3FAF"/>
    <w:rsid w:val="00CA5C1E"/>
    <w:rsid w:val="00CB2D90"/>
    <w:rsid w:val="00CB3B4E"/>
    <w:rsid w:val="00CB3D35"/>
    <w:rsid w:val="00CC25A4"/>
    <w:rsid w:val="00CC46C2"/>
    <w:rsid w:val="00CD5B9D"/>
    <w:rsid w:val="00CD6876"/>
    <w:rsid w:val="00CD7244"/>
    <w:rsid w:val="00CD7B2D"/>
    <w:rsid w:val="00CE4023"/>
    <w:rsid w:val="00CE7514"/>
    <w:rsid w:val="00CE77EF"/>
    <w:rsid w:val="00CF0828"/>
    <w:rsid w:val="00CF1EDF"/>
    <w:rsid w:val="00CF2CC6"/>
    <w:rsid w:val="00CF35F9"/>
    <w:rsid w:val="00D02BBC"/>
    <w:rsid w:val="00D0399A"/>
    <w:rsid w:val="00D07B0C"/>
    <w:rsid w:val="00D103D8"/>
    <w:rsid w:val="00D133DF"/>
    <w:rsid w:val="00D20FCE"/>
    <w:rsid w:val="00D32359"/>
    <w:rsid w:val="00D34416"/>
    <w:rsid w:val="00D433DB"/>
    <w:rsid w:val="00D44202"/>
    <w:rsid w:val="00D4502C"/>
    <w:rsid w:val="00D45884"/>
    <w:rsid w:val="00D45989"/>
    <w:rsid w:val="00D470D0"/>
    <w:rsid w:val="00D5025D"/>
    <w:rsid w:val="00D55265"/>
    <w:rsid w:val="00D57845"/>
    <w:rsid w:val="00D61E4A"/>
    <w:rsid w:val="00D70F18"/>
    <w:rsid w:val="00D711D1"/>
    <w:rsid w:val="00D71284"/>
    <w:rsid w:val="00D717F4"/>
    <w:rsid w:val="00D761BC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E199B"/>
    <w:rsid w:val="00DE216D"/>
    <w:rsid w:val="00DE3DC1"/>
    <w:rsid w:val="00DE402A"/>
    <w:rsid w:val="00DE4C79"/>
    <w:rsid w:val="00DF00CF"/>
    <w:rsid w:val="00DF41C3"/>
    <w:rsid w:val="00DF6A07"/>
    <w:rsid w:val="00DF7C46"/>
    <w:rsid w:val="00E041B0"/>
    <w:rsid w:val="00E11860"/>
    <w:rsid w:val="00E155EB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A4B06"/>
    <w:rsid w:val="00EB1D8A"/>
    <w:rsid w:val="00EB4C8B"/>
    <w:rsid w:val="00EB5FED"/>
    <w:rsid w:val="00EC0B75"/>
    <w:rsid w:val="00EC6196"/>
    <w:rsid w:val="00EC6398"/>
    <w:rsid w:val="00EC6B64"/>
    <w:rsid w:val="00ED4FCB"/>
    <w:rsid w:val="00ED79E4"/>
    <w:rsid w:val="00EE1237"/>
    <w:rsid w:val="00EF120C"/>
    <w:rsid w:val="00EF348B"/>
    <w:rsid w:val="00F04010"/>
    <w:rsid w:val="00F10D9E"/>
    <w:rsid w:val="00F1329B"/>
    <w:rsid w:val="00F13A3B"/>
    <w:rsid w:val="00F16513"/>
    <w:rsid w:val="00F1704A"/>
    <w:rsid w:val="00F20B6C"/>
    <w:rsid w:val="00F252C6"/>
    <w:rsid w:val="00F37124"/>
    <w:rsid w:val="00F373A5"/>
    <w:rsid w:val="00F4102E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82255"/>
    <w:rsid w:val="00F90E6B"/>
    <w:rsid w:val="00F922D7"/>
    <w:rsid w:val="00F93244"/>
    <w:rsid w:val="00F965E1"/>
    <w:rsid w:val="00FA0192"/>
    <w:rsid w:val="00FA3A7D"/>
    <w:rsid w:val="00FA7157"/>
    <w:rsid w:val="00FB45E3"/>
    <w:rsid w:val="00FB546B"/>
    <w:rsid w:val="00FB7329"/>
    <w:rsid w:val="00FC2A3E"/>
    <w:rsid w:val="00FC5BDC"/>
    <w:rsid w:val="00FC5CD2"/>
    <w:rsid w:val="00FD3125"/>
    <w:rsid w:val="00FD46BB"/>
    <w:rsid w:val="00FD4884"/>
    <w:rsid w:val="00FE0280"/>
    <w:rsid w:val="00FE3971"/>
    <w:rsid w:val="00FE3F99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BB3D1"/>
  <w15:docId w15:val="{1E4EDE33-4898-429B-B61B-A70D93613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,Style 30"/>
    <w:link w:val="ZFootnoteText"/>
    <w:uiPriority w:val="99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psi.it/wp-content/uploads/2020/05/SPSI-Bilancio-al-31-dicembre-2019.pdf" TargetMode="External"/><Relationship Id="rId18" Type="http://schemas.openxmlformats.org/officeDocument/2006/relationships/hyperlink" Target="https://spsi.it/wp-content/uploads/2020/05/SPSI-Bilancio-al-31-dicembre-2019.pdf" TargetMode="External"/><Relationship Id="rId26" Type="http://schemas.openxmlformats.org/officeDocument/2006/relationships/hyperlink" Target="https://spsi.it/wp-content/uploads/2020/05/SPSI-Bilancio-al-31-dicembre-2019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psi.it/wp-content/uploads/2020/05/SPSI-Bilancio-al-31-dicembre-2019.pdf" TargetMode="External"/><Relationship Id="rId34" Type="http://schemas.openxmlformats.org/officeDocument/2006/relationships/hyperlink" Target="https://spsi.it/wp-content/uploads/2020/05/SPSI-Bilancio-al-31-dicembre-2019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psi.it/wp-content/uploads/2020/05/SPSI-Bilancio-al-31-dicembre-2019.pdf" TargetMode="External"/><Relationship Id="rId17" Type="http://schemas.openxmlformats.org/officeDocument/2006/relationships/hyperlink" Target="https://spsi.it/wp-content/uploads/2020/05/SPSI-Bilancio-al-31-dicembre-2019.pdf" TargetMode="External"/><Relationship Id="rId25" Type="http://schemas.openxmlformats.org/officeDocument/2006/relationships/hyperlink" Target="https://spsi.it/wp-content/uploads/2020/05/SPSI-Bilancio-al-31-dicembre-2019.pdf" TargetMode="External"/><Relationship Id="rId33" Type="http://schemas.openxmlformats.org/officeDocument/2006/relationships/hyperlink" Target="https://spsi.it/wp-content/uploads/2020/05/SPSI-Bilancio-al-31-dicembre-2019.pdf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psi.it/wp-content/uploads/2020/05/SPSI-Bilancio-al-31-dicembre-2019.pdf" TargetMode="External"/><Relationship Id="rId20" Type="http://schemas.openxmlformats.org/officeDocument/2006/relationships/hyperlink" Target="https://spsi.it/wp-content/uploads/2020/05/SPSI-Bilancio-al-31-dicembre-2019.pdf" TargetMode="External"/><Relationship Id="rId29" Type="http://schemas.openxmlformats.org/officeDocument/2006/relationships/hyperlink" Target="https://spsi.it/wp-content/uploads/2020/05/SPSI-Bilancio-al-31-dicembre-2019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psi.it/wp-content/uploads/2020/05/SPSI-Bilancio-al-31-dicembre-2019.pdf" TargetMode="External"/><Relationship Id="rId24" Type="http://schemas.openxmlformats.org/officeDocument/2006/relationships/hyperlink" Target="https://spsi.it/wp-content/uploads/2020/05/SPSI-Bilancio-al-31-dicembre-2019.pdf" TargetMode="External"/><Relationship Id="rId32" Type="http://schemas.openxmlformats.org/officeDocument/2006/relationships/hyperlink" Target="https://spsi.it/wp-content/uploads/2020/05/SPSI-Bilancio-al-31-dicembre-2019.pdf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psi.it/wp-content/uploads/2020/05/SPSI-Bilancio-al-31-dicembre-2019.pdf" TargetMode="External"/><Relationship Id="rId23" Type="http://schemas.openxmlformats.org/officeDocument/2006/relationships/hyperlink" Target="https://spsi.it/wp-content/uploads/2020/05/SPSI-Bilancio-al-31-dicembre-2019.pdf" TargetMode="External"/><Relationship Id="rId28" Type="http://schemas.openxmlformats.org/officeDocument/2006/relationships/hyperlink" Target="https://spsi.it/wp-content/uploads/2020/05/SPSI-Bilancio-al-31-dicembre-2019.pdf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spsi.it/wp-content/uploads/2020/05/SPSI-Bilancio-al-31-dicembre-2019.pdf" TargetMode="External"/><Relationship Id="rId19" Type="http://schemas.openxmlformats.org/officeDocument/2006/relationships/hyperlink" Target="https://spsi.it/wp-content/uploads/2020/05/SPSI-Bilancio-al-31-dicembre-2019.pdf" TargetMode="External"/><Relationship Id="rId31" Type="http://schemas.openxmlformats.org/officeDocument/2006/relationships/hyperlink" Target="https://spsi.it/wp-content/uploads/2020/05/SPSI-Bilancio-al-31-dicembre-201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si.it/wp-content/uploads/2020/05/SPSI-Bilancio-al-31-dicembre-2019.pdf" TargetMode="External"/><Relationship Id="rId14" Type="http://schemas.openxmlformats.org/officeDocument/2006/relationships/hyperlink" Target="https://spsi.it/wp-content/uploads/2020/05/SPSI-Bilancio-al-31-dicembre-2019.pdf" TargetMode="External"/><Relationship Id="rId22" Type="http://schemas.openxmlformats.org/officeDocument/2006/relationships/hyperlink" Target="https://spsi.it/wp-content/uploads/2020/05/SPSI-Bilancio-al-31-dicembre-2019.pdf" TargetMode="External"/><Relationship Id="rId27" Type="http://schemas.openxmlformats.org/officeDocument/2006/relationships/hyperlink" Target="https://spsi.it/wp-content/uploads/2020/05/SPSI-Bilancio-al-31-dicembre-2019.pdf" TargetMode="External"/><Relationship Id="rId30" Type="http://schemas.openxmlformats.org/officeDocument/2006/relationships/hyperlink" Target="https://spsi.it/wp-content/uploads/2020/05/SPSI-Bilancio-al-31-dicembre-2019.pdf" TargetMode="External"/><Relationship Id="rId35" Type="http://schemas.openxmlformats.org/officeDocument/2006/relationships/hyperlink" Target="https://spsi.it/wp-content/uploads/2020/05/SPSI-Bilancio-al-31-dicembre-2019.pdf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psi.it/wp-content/uploads/2020/05/SPSI-Bilancio-al-31-dicembre-201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AD9E7-D83B-4AC0-9B12-3368DAA85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2478</Words>
  <Characters>14126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krivogub</dc:creator>
  <cp:lastModifiedBy>Руденко Інна Володимирівна</cp:lastModifiedBy>
  <cp:revision>7</cp:revision>
  <cp:lastPrinted>2022-01-05T08:57:00Z</cp:lastPrinted>
  <dcterms:created xsi:type="dcterms:W3CDTF">2021-12-23T09:45:00Z</dcterms:created>
  <dcterms:modified xsi:type="dcterms:W3CDTF">2022-01-05T08:58:00Z</dcterms:modified>
</cp:coreProperties>
</file>