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6" w:type="dxa"/>
        <w:tblInd w:w="108" w:type="dxa"/>
        <w:tblLayout w:type="fixed"/>
        <w:tblLook w:val="0000" w:firstRow="0" w:lastRow="0" w:firstColumn="0" w:lastColumn="0" w:noHBand="0" w:noVBand="0"/>
      </w:tblPr>
      <w:tblGrid>
        <w:gridCol w:w="9746"/>
      </w:tblGrid>
      <w:tr w:rsidR="002E1EC0" w:rsidRPr="00173655" w:rsidTr="002E1EC0">
        <w:trPr>
          <w:trHeight w:val="707"/>
        </w:trPr>
        <w:tc>
          <w:tcPr>
            <w:tcW w:w="9746" w:type="dxa"/>
            <w:shd w:val="clear" w:color="auto" w:fill="auto"/>
          </w:tcPr>
          <w:p w:rsidR="002E1EC0" w:rsidRPr="00173655" w:rsidRDefault="00540644" w:rsidP="00646F65">
            <w:pPr>
              <w:jc w:val="center"/>
              <w:rPr>
                <w:b/>
                <w:bCs/>
                <w:sz w:val="32"/>
                <w:szCs w:val="32"/>
              </w:rPr>
            </w:pPr>
            <w:bookmarkStart w:id="0" w:name="_GoBack"/>
            <w:bookmarkEnd w:id="0"/>
            <w:r w:rsidRPr="00173655">
              <w:rPr>
                <w:b/>
                <w:bCs/>
                <w:noProof/>
                <w:sz w:val="32"/>
                <w:szCs w:val="32"/>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173655" w:rsidRDefault="002E1EC0" w:rsidP="00646F65">
            <w:pPr>
              <w:jc w:val="center"/>
            </w:pPr>
            <w:r w:rsidRPr="00173655">
              <w:rPr>
                <w:b/>
                <w:bCs/>
                <w:sz w:val="32"/>
                <w:szCs w:val="32"/>
              </w:rPr>
              <w:t>АНТИМОНОПОЛЬНИЙ   КОМІТЕТ   УКРАЇНИ</w:t>
            </w:r>
          </w:p>
        </w:tc>
      </w:tr>
    </w:tbl>
    <w:p w:rsidR="001D066A" w:rsidRPr="00173655" w:rsidRDefault="001D066A" w:rsidP="00336F5F">
      <w:pPr>
        <w:jc w:val="center"/>
        <w:rPr>
          <w:b/>
          <w:bCs/>
          <w:sz w:val="28"/>
          <w:szCs w:val="28"/>
        </w:rPr>
      </w:pPr>
    </w:p>
    <w:p w:rsidR="00336F5F" w:rsidRPr="00173655" w:rsidRDefault="00477495" w:rsidP="00336F5F">
      <w:pPr>
        <w:jc w:val="center"/>
      </w:pPr>
      <w:r w:rsidRPr="00173655">
        <w:rPr>
          <w:b/>
          <w:bCs/>
          <w:sz w:val="32"/>
          <w:szCs w:val="32"/>
        </w:rPr>
        <w:t xml:space="preserve">  </w:t>
      </w:r>
      <w:r w:rsidR="00336F5F" w:rsidRPr="00173655">
        <w:rPr>
          <w:b/>
          <w:bCs/>
          <w:sz w:val="32"/>
          <w:szCs w:val="32"/>
        </w:rPr>
        <w:t>РІШЕННЯ</w:t>
      </w:r>
    </w:p>
    <w:p w:rsidR="00336F5F" w:rsidRPr="00173655" w:rsidRDefault="00336F5F" w:rsidP="0035539D">
      <w:pPr>
        <w:jc w:val="center"/>
        <w:rPr>
          <w:sz w:val="28"/>
          <w:szCs w:val="28"/>
        </w:rPr>
      </w:pPr>
    </w:p>
    <w:p w:rsidR="00381FE9" w:rsidRPr="00173655" w:rsidRDefault="00381FE9" w:rsidP="0035539D">
      <w:pPr>
        <w:jc w:val="center"/>
        <w:rPr>
          <w:sz w:val="28"/>
          <w:szCs w:val="28"/>
        </w:rPr>
      </w:pPr>
    </w:p>
    <w:p w:rsidR="00336F5F" w:rsidRPr="00173655" w:rsidRDefault="00737159" w:rsidP="00336F5F">
      <w:pPr>
        <w:jc w:val="both"/>
      </w:pPr>
      <w:r>
        <w:t xml:space="preserve">23 </w:t>
      </w:r>
      <w:r w:rsidR="00173655" w:rsidRPr="00173655">
        <w:t xml:space="preserve">грудня </w:t>
      </w:r>
      <w:r w:rsidR="00AE58CA" w:rsidRPr="00173655">
        <w:t xml:space="preserve"> </w:t>
      </w:r>
      <w:r w:rsidR="00DC2019" w:rsidRPr="00173655">
        <w:t>20</w:t>
      </w:r>
      <w:r w:rsidR="008D3294" w:rsidRPr="00173655">
        <w:t>2</w:t>
      </w:r>
      <w:r w:rsidR="00DD2DBB" w:rsidRPr="00173655">
        <w:t>1</w:t>
      </w:r>
      <w:r w:rsidR="00035BBA" w:rsidRPr="00173655">
        <w:t xml:space="preserve"> р.</w:t>
      </w:r>
      <w:r w:rsidR="00336F5F" w:rsidRPr="00173655">
        <w:tab/>
      </w:r>
      <w:r w:rsidR="00AB719C" w:rsidRPr="00173655">
        <w:t xml:space="preserve"> </w:t>
      </w:r>
      <w:r w:rsidR="009041C2" w:rsidRPr="00173655">
        <w:t xml:space="preserve">       </w:t>
      </w:r>
      <w:r w:rsidR="002E77C2" w:rsidRPr="00173655">
        <w:t xml:space="preserve">      </w:t>
      </w:r>
      <w:r w:rsidR="009F1D53" w:rsidRPr="00173655">
        <w:t xml:space="preserve">     </w:t>
      </w:r>
      <w:r w:rsidR="00E26BBB" w:rsidRPr="00173655">
        <w:t xml:space="preserve">   </w:t>
      </w:r>
      <w:r w:rsidR="002E77C2" w:rsidRPr="00173655">
        <w:t xml:space="preserve"> </w:t>
      </w:r>
      <w:r w:rsidR="009041C2" w:rsidRPr="00173655">
        <w:t xml:space="preserve"> </w:t>
      </w:r>
      <w:r w:rsidR="00E26BBB" w:rsidRPr="00173655">
        <w:t xml:space="preserve">  </w:t>
      </w:r>
      <w:r w:rsidR="00B435CC" w:rsidRPr="00173655">
        <w:t xml:space="preserve"> </w:t>
      </w:r>
      <w:r w:rsidR="00BF0830" w:rsidRPr="00173655">
        <w:t xml:space="preserve">   </w:t>
      </w:r>
      <w:r w:rsidR="004E3F30" w:rsidRPr="00173655">
        <w:t xml:space="preserve">        </w:t>
      </w:r>
      <w:r w:rsidR="00AB719C" w:rsidRPr="00173655">
        <w:t>Київ</w:t>
      </w:r>
      <w:r w:rsidR="004E3F30" w:rsidRPr="00173655">
        <w:t xml:space="preserve">       </w:t>
      </w:r>
      <w:r w:rsidR="00AB719C" w:rsidRPr="00173655">
        <w:t xml:space="preserve">    </w:t>
      </w:r>
      <w:r w:rsidR="004B2BD9" w:rsidRPr="00173655">
        <w:t xml:space="preserve">    </w:t>
      </w:r>
      <w:r w:rsidR="00D41574" w:rsidRPr="00173655">
        <w:t xml:space="preserve">       </w:t>
      </w:r>
      <w:r w:rsidR="004B2BD9" w:rsidRPr="00173655">
        <w:t xml:space="preserve"> </w:t>
      </w:r>
      <w:r w:rsidR="00BF0830" w:rsidRPr="00173655">
        <w:t xml:space="preserve">    </w:t>
      </w:r>
      <w:r w:rsidR="00A60167" w:rsidRPr="00173655">
        <w:t xml:space="preserve">  </w:t>
      </w:r>
      <w:r w:rsidR="009F1D53" w:rsidRPr="00173655">
        <w:t xml:space="preserve">     </w:t>
      </w:r>
      <w:r w:rsidR="00956307" w:rsidRPr="00173655">
        <w:t xml:space="preserve">     </w:t>
      </w:r>
      <w:r w:rsidR="007A3B43" w:rsidRPr="00173655">
        <w:t xml:space="preserve"> </w:t>
      </w:r>
      <w:r w:rsidR="004E3F30" w:rsidRPr="00173655">
        <w:t xml:space="preserve">       </w:t>
      </w:r>
      <w:r>
        <w:t xml:space="preserve">             </w:t>
      </w:r>
      <w:r w:rsidR="004E3F30" w:rsidRPr="00173655">
        <w:t>№</w:t>
      </w:r>
      <w:r>
        <w:t xml:space="preserve"> 722</w:t>
      </w:r>
      <w:r w:rsidR="00B02532" w:rsidRPr="00173655">
        <w:t>-р</w:t>
      </w:r>
      <w:r w:rsidR="005064F3" w:rsidRPr="00173655">
        <w:t xml:space="preserve"> </w:t>
      </w:r>
    </w:p>
    <w:p w:rsidR="00336F5F" w:rsidRPr="00173655" w:rsidRDefault="009041C2" w:rsidP="00336F5F">
      <w:pPr>
        <w:rPr>
          <w:b/>
          <w:bCs/>
        </w:rPr>
      </w:pPr>
      <w:r w:rsidRPr="00173655">
        <w:rPr>
          <w:b/>
          <w:bCs/>
        </w:rPr>
        <w:t xml:space="preserve">     </w:t>
      </w:r>
    </w:p>
    <w:p w:rsidR="00C42823" w:rsidRPr="00173655" w:rsidRDefault="00C42823" w:rsidP="00311D78">
      <w:pPr>
        <w:pStyle w:val="western"/>
        <w:spacing w:before="0" w:beforeAutospacing="0" w:line="240" w:lineRule="auto"/>
        <w:ind w:firstLine="709"/>
        <w:rPr>
          <w:sz w:val="24"/>
          <w:szCs w:val="24"/>
          <w:lang w:val="uk-UA"/>
        </w:rPr>
      </w:pPr>
    </w:p>
    <w:p w:rsidR="00173655" w:rsidRPr="00173655" w:rsidRDefault="00173655" w:rsidP="00173655">
      <w:pPr>
        <w:rPr>
          <w:color w:val="000000"/>
        </w:rPr>
      </w:pPr>
      <w:r w:rsidRPr="00173655">
        <w:rPr>
          <w:color w:val="000000"/>
        </w:rPr>
        <w:t>Про визнання підтримки суб’єкта</w:t>
      </w:r>
    </w:p>
    <w:p w:rsidR="00173655" w:rsidRPr="00173655" w:rsidRDefault="00173655" w:rsidP="00173655">
      <w:pPr>
        <w:rPr>
          <w:color w:val="000000"/>
        </w:rPr>
      </w:pPr>
      <w:r w:rsidRPr="00173655">
        <w:rPr>
          <w:color w:val="000000"/>
        </w:rPr>
        <w:t xml:space="preserve">господарювання, зазначеної </w:t>
      </w:r>
      <w:r w:rsidR="00934EBE">
        <w:rPr>
          <w:color w:val="000000"/>
        </w:rPr>
        <w:t>в</w:t>
      </w:r>
    </w:p>
    <w:p w:rsidR="00173655" w:rsidRPr="00173655" w:rsidRDefault="00173655" w:rsidP="00173655">
      <w:pPr>
        <w:rPr>
          <w:color w:val="000000"/>
        </w:rPr>
      </w:pPr>
      <w:r w:rsidRPr="00173655">
        <w:rPr>
          <w:color w:val="000000"/>
        </w:rPr>
        <w:t>повідомленні, такою, що є допустимою</w:t>
      </w:r>
    </w:p>
    <w:p w:rsidR="00173655" w:rsidRPr="00173655" w:rsidRDefault="00173655" w:rsidP="00173655">
      <w:r w:rsidRPr="00173655">
        <w:rPr>
          <w:color w:val="000000"/>
        </w:rPr>
        <w:t>державною допомогою</w:t>
      </w:r>
    </w:p>
    <w:p w:rsidR="00173655" w:rsidRPr="00173655" w:rsidRDefault="00173655" w:rsidP="00173655">
      <w:pPr>
        <w:rPr>
          <w:sz w:val="18"/>
        </w:rPr>
      </w:pPr>
    </w:p>
    <w:p w:rsidR="00173655" w:rsidRPr="00173655" w:rsidRDefault="00173655" w:rsidP="00173655">
      <w:pPr>
        <w:pStyle w:val="western"/>
        <w:spacing w:before="0" w:beforeAutospacing="0" w:line="240" w:lineRule="auto"/>
        <w:ind w:firstLine="709"/>
        <w:rPr>
          <w:sz w:val="24"/>
          <w:szCs w:val="24"/>
          <w:lang w:val="uk-UA"/>
        </w:rPr>
      </w:pPr>
      <w:r w:rsidRPr="00173655">
        <w:rPr>
          <w:sz w:val="24"/>
          <w:szCs w:val="24"/>
          <w:lang w:val="uk-UA"/>
        </w:rPr>
        <w:t xml:space="preserve">За результатами розгляду повідомлення про державну допомогу Департаменту міського господарства Одеської міської ради за реєстраційним номером </w:t>
      </w:r>
      <w:r w:rsidR="0076334C">
        <w:rPr>
          <w:sz w:val="24"/>
          <w:szCs w:val="24"/>
          <w:lang w:val="uk-UA"/>
        </w:rPr>
        <w:t>у</w:t>
      </w:r>
      <w:r w:rsidR="0076334C" w:rsidRPr="00173655">
        <w:rPr>
          <w:sz w:val="24"/>
          <w:szCs w:val="24"/>
          <w:lang w:val="uk-UA"/>
        </w:rPr>
        <w:t xml:space="preserve"> </w:t>
      </w:r>
      <w:r w:rsidRPr="00173655">
        <w:rPr>
          <w:sz w:val="24"/>
          <w:szCs w:val="24"/>
          <w:lang w:val="uk-UA"/>
        </w:rPr>
        <w:t>базі даних реєстраційний номер у базі даних 62426 (вх. № 1475-ПДД/1 від 12.08.2021) (далі – Повідомлення) розпорядженням державного уповноваженого Антимонопольного комітету України від 15.11.2021 № 05/319-р розпочато розгляд справи № 500-26.15/51-21-ДД про державну допомогу для проведення поглибленого аналізу допустимості державної допомоги для конкуренції.</w:t>
      </w:r>
    </w:p>
    <w:p w:rsidR="00173655" w:rsidRPr="00173655" w:rsidRDefault="00173655" w:rsidP="00173655">
      <w:pPr>
        <w:pStyle w:val="western"/>
        <w:spacing w:before="0" w:beforeAutospacing="0" w:line="240" w:lineRule="auto"/>
        <w:ind w:firstLine="709"/>
        <w:rPr>
          <w:sz w:val="24"/>
          <w:szCs w:val="24"/>
          <w:lang w:val="uk-UA"/>
        </w:rPr>
      </w:pPr>
    </w:p>
    <w:p w:rsidR="00173655" w:rsidRPr="00173655" w:rsidRDefault="00173655" w:rsidP="00173655">
      <w:pPr>
        <w:pStyle w:val="western"/>
        <w:spacing w:before="0" w:beforeAutospacing="0" w:line="240" w:lineRule="auto"/>
        <w:ind w:firstLine="709"/>
        <w:rPr>
          <w:sz w:val="24"/>
          <w:szCs w:val="24"/>
          <w:lang w:val="uk-UA"/>
        </w:rPr>
      </w:pPr>
      <w:r w:rsidRPr="00173655">
        <w:rPr>
          <w:sz w:val="24"/>
          <w:szCs w:val="24"/>
          <w:lang w:val="uk-UA"/>
        </w:rPr>
        <w:t xml:space="preserve">Антимонопольний комітет України, розглянувши матеріали справи про державну допомогу № 500-26.15/51-21-ДД та подання з попередніми висновками у справі </w:t>
      </w:r>
      <w:r w:rsidRPr="00173655">
        <w:rPr>
          <w:sz w:val="24"/>
          <w:szCs w:val="24"/>
          <w:lang w:val="uk-UA"/>
        </w:rPr>
        <w:br/>
        <w:t>від 08.11.2021 № 500-26.15/51-21-ДД/</w:t>
      </w:r>
      <w:r w:rsidR="00365B72">
        <w:rPr>
          <w:sz w:val="24"/>
          <w:szCs w:val="24"/>
          <w:lang w:val="uk-UA"/>
        </w:rPr>
        <w:t>597</w:t>
      </w:r>
      <w:r w:rsidRPr="00173655">
        <w:rPr>
          <w:sz w:val="24"/>
          <w:szCs w:val="24"/>
          <w:lang w:val="uk-UA"/>
        </w:rPr>
        <w:t>-спр,</w:t>
      </w:r>
    </w:p>
    <w:p w:rsidR="00173655" w:rsidRPr="00173655" w:rsidRDefault="00173655" w:rsidP="00173655">
      <w:pPr>
        <w:jc w:val="both"/>
        <w:rPr>
          <w:sz w:val="18"/>
        </w:rPr>
      </w:pPr>
    </w:p>
    <w:p w:rsidR="00173655" w:rsidRPr="00173655" w:rsidRDefault="00173655" w:rsidP="00173655">
      <w:pPr>
        <w:jc w:val="center"/>
        <w:rPr>
          <w:b/>
          <w:bCs/>
          <w:color w:val="000000"/>
        </w:rPr>
      </w:pPr>
      <w:r w:rsidRPr="00173655">
        <w:rPr>
          <w:b/>
          <w:bCs/>
          <w:color w:val="000000"/>
        </w:rPr>
        <w:t>ВСТАНОВИ</w:t>
      </w:r>
      <w:r w:rsidR="00934EBE">
        <w:rPr>
          <w:b/>
          <w:bCs/>
          <w:color w:val="000000"/>
        </w:rPr>
        <w:t>В</w:t>
      </w:r>
      <w:r w:rsidRPr="00173655">
        <w:rPr>
          <w:b/>
          <w:bCs/>
          <w:color w:val="000000"/>
        </w:rPr>
        <w:t>:</w:t>
      </w:r>
    </w:p>
    <w:p w:rsidR="00173655" w:rsidRPr="00173655" w:rsidRDefault="00173655" w:rsidP="00173655">
      <w:pPr>
        <w:jc w:val="both"/>
      </w:pPr>
    </w:p>
    <w:p w:rsidR="00173655" w:rsidRPr="00173655" w:rsidRDefault="00173655" w:rsidP="00173655">
      <w:pPr>
        <w:numPr>
          <w:ilvl w:val="0"/>
          <w:numId w:val="33"/>
        </w:numPr>
        <w:tabs>
          <w:tab w:val="left" w:pos="567"/>
        </w:tabs>
        <w:ind w:left="567" w:hanging="567"/>
        <w:contextualSpacing/>
        <w:rPr>
          <w:b/>
        </w:rPr>
      </w:pPr>
      <w:r w:rsidRPr="00173655">
        <w:rPr>
          <w:b/>
        </w:rPr>
        <w:t>ПОРЯДОК РОЗГЛЯДУ СПРАВИ</w:t>
      </w:r>
    </w:p>
    <w:p w:rsidR="00173655" w:rsidRPr="00173655" w:rsidRDefault="00173655" w:rsidP="00173655">
      <w:pPr>
        <w:tabs>
          <w:tab w:val="left" w:pos="567"/>
        </w:tabs>
        <w:ind w:left="284"/>
        <w:contextualSpacing/>
        <w:jc w:val="both"/>
        <w:rPr>
          <w:b/>
        </w:rPr>
      </w:pPr>
    </w:p>
    <w:p w:rsidR="00173655" w:rsidRPr="00173655" w:rsidRDefault="00173655" w:rsidP="00173655">
      <w:pPr>
        <w:numPr>
          <w:ilvl w:val="0"/>
          <w:numId w:val="35"/>
        </w:numPr>
        <w:tabs>
          <w:tab w:val="clear" w:pos="-180"/>
          <w:tab w:val="num" w:pos="-360"/>
        </w:tabs>
        <w:ind w:left="360"/>
        <w:jc w:val="both"/>
        <w:rPr>
          <w:lang w:eastAsia="ru-RU"/>
        </w:rPr>
      </w:pPr>
      <w:r w:rsidRPr="00173655">
        <w:t>Департаментом міського господарства Одеської міської ради</w:t>
      </w:r>
      <w:r w:rsidRPr="00173655">
        <w:rPr>
          <w:lang w:eastAsia="ru-RU"/>
        </w:rPr>
        <w:t xml:space="preserve"> подано до Антимонопольного комітету України (далі – Комітет) повідомлення про нову державну допомогу, зареєстроване в Комітеті </w:t>
      </w:r>
      <w:r w:rsidRPr="00173655">
        <w:t xml:space="preserve">за реєстраційним номером у базі даних 62426, </w:t>
      </w:r>
      <w:r w:rsidR="00365B72">
        <w:br/>
      </w:r>
      <w:r w:rsidRPr="00173655">
        <w:t>(вх. № 1475-ПДД/1 від 12.08.2021)</w:t>
      </w:r>
      <w:r w:rsidRPr="00173655">
        <w:rPr>
          <w:lang w:eastAsia="ru-RU"/>
        </w:rPr>
        <w:t>.</w:t>
      </w:r>
    </w:p>
    <w:p w:rsidR="00173655" w:rsidRPr="00173655" w:rsidRDefault="00173655" w:rsidP="00173655">
      <w:pPr>
        <w:jc w:val="both"/>
        <w:rPr>
          <w:lang w:eastAsia="ru-RU"/>
        </w:rPr>
      </w:pPr>
    </w:p>
    <w:p w:rsidR="00173655" w:rsidRPr="00173655" w:rsidRDefault="00173655" w:rsidP="00173655">
      <w:pPr>
        <w:numPr>
          <w:ilvl w:val="0"/>
          <w:numId w:val="35"/>
        </w:numPr>
        <w:tabs>
          <w:tab w:val="clear" w:pos="-180"/>
          <w:tab w:val="num" w:pos="-360"/>
        </w:tabs>
        <w:ind w:left="360"/>
        <w:jc w:val="both"/>
        <w:rPr>
          <w:lang w:eastAsia="ru-RU"/>
        </w:rPr>
      </w:pPr>
      <w:r w:rsidRPr="00173655">
        <w:rPr>
          <w:lang w:eastAsia="ru-RU"/>
        </w:rPr>
        <w:t>Листом від 25.08.2021 № 500-29/06-12475 Комітетом було залишено Повідомлення без руху та запитано додаткову інформацію.</w:t>
      </w:r>
    </w:p>
    <w:p w:rsidR="00173655" w:rsidRPr="00173655" w:rsidRDefault="00173655" w:rsidP="00173655">
      <w:pPr>
        <w:jc w:val="both"/>
        <w:rPr>
          <w:lang w:eastAsia="ru-RU"/>
        </w:rPr>
      </w:pPr>
    </w:p>
    <w:p w:rsidR="00173655" w:rsidRPr="00173655" w:rsidRDefault="00173655" w:rsidP="00173655">
      <w:pPr>
        <w:numPr>
          <w:ilvl w:val="0"/>
          <w:numId w:val="35"/>
        </w:numPr>
        <w:tabs>
          <w:tab w:val="clear" w:pos="-180"/>
          <w:tab w:val="num" w:pos="-360"/>
        </w:tabs>
        <w:ind w:left="360"/>
        <w:jc w:val="both"/>
        <w:rPr>
          <w:lang w:eastAsia="ru-RU"/>
        </w:rPr>
      </w:pPr>
      <w:r w:rsidRPr="00173655">
        <w:rPr>
          <w:lang w:eastAsia="ru-RU"/>
        </w:rPr>
        <w:t xml:space="preserve">Листом вх. № 1568-ПДД/4 від 15.09.2021 </w:t>
      </w:r>
      <w:r w:rsidRPr="00173655">
        <w:t>Департамент міського господарства Одеської міської ради</w:t>
      </w:r>
      <w:r w:rsidRPr="00173655">
        <w:rPr>
          <w:lang w:eastAsia="ru-RU"/>
        </w:rPr>
        <w:t xml:space="preserve"> надав додаткову інформацію.</w:t>
      </w:r>
    </w:p>
    <w:p w:rsidR="00173655" w:rsidRPr="00173655" w:rsidRDefault="00173655" w:rsidP="00173655">
      <w:pPr>
        <w:pStyle w:val="af6"/>
        <w:rPr>
          <w:lang w:eastAsia="ru-RU"/>
        </w:rPr>
      </w:pPr>
    </w:p>
    <w:p w:rsidR="00173655" w:rsidRPr="00173655" w:rsidRDefault="00173655" w:rsidP="00173655">
      <w:pPr>
        <w:numPr>
          <w:ilvl w:val="0"/>
          <w:numId w:val="35"/>
        </w:numPr>
        <w:tabs>
          <w:tab w:val="clear" w:pos="-180"/>
          <w:tab w:val="num" w:pos="-360"/>
        </w:tabs>
        <w:ind w:left="360"/>
        <w:jc w:val="both"/>
        <w:rPr>
          <w:lang w:eastAsia="ru-RU"/>
        </w:rPr>
      </w:pPr>
      <w:r w:rsidRPr="00173655">
        <w:rPr>
          <w:lang w:eastAsia="ru-RU"/>
        </w:rPr>
        <w:t xml:space="preserve">15.09.2021 повідомлення про нову державну допомогу, зареєстроване в Комітеті </w:t>
      </w:r>
      <w:r w:rsidRPr="00173655">
        <w:t xml:space="preserve">за реєстраційним номером </w:t>
      </w:r>
      <w:r w:rsidR="0076334C">
        <w:t>у</w:t>
      </w:r>
      <w:r w:rsidR="0076334C" w:rsidRPr="00173655">
        <w:t xml:space="preserve"> </w:t>
      </w:r>
      <w:r w:rsidRPr="00173655">
        <w:t>базі даних 62426 (вх. № 1475-ПДД/1 від 12.08.2021)</w:t>
      </w:r>
      <w:r w:rsidR="00934EBE">
        <w:t>,</w:t>
      </w:r>
      <w:r w:rsidRPr="00173655">
        <w:t xml:space="preserve"> прийнято до розгляду.</w:t>
      </w:r>
    </w:p>
    <w:p w:rsidR="00173655" w:rsidRPr="00173655" w:rsidRDefault="00173655" w:rsidP="00173655">
      <w:pPr>
        <w:pStyle w:val="af6"/>
        <w:rPr>
          <w:lang w:eastAsia="ru-RU"/>
        </w:rPr>
      </w:pPr>
    </w:p>
    <w:p w:rsidR="00173655" w:rsidRPr="00173655" w:rsidRDefault="00173655" w:rsidP="00173655">
      <w:pPr>
        <w:numPr>
          <w:ilvl w:val="0"/>
          <w:numId w:val="35"/>
        </w:numPr>
        <w:tabs>
          <w:tab w:val="clear" w:pos="-180"/>
          <w:tab w:val="num" w:pos="-360"/>
        </w:tabs>
        <w:ind w:left="360"/>
        <w:contextualSpacing/>
        <w:jc w:val="both"/>
      </w:pPr>
      <w:r w:rsidRPr="00173655">
        <w:t>Розпорядженням державного уповноваженого Антимонопольного комітету України від 15.11.2021 № 05/319-р розпочато розгляд справи № 500-26.15/51-21-ДД.</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360"/>
        <w:contextualSpacing/>
        <w:jc w:val="both"/>
      </w:pPr>
      <w:r w:rsidRPr="00173655">
        <w:t xml:space="preserve">На офіційному вебпорталі Антимонопольного комітету України опубліковано інформацію про початок розгляду справи про державну допомогу зі зверненням до всіх </w:t>
      </w:r>
      <w:r w:rsidRPr="00173655">
        <w:lastRenderedPageBreak/>
        <w:t>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Жодних заперечень чи зауважень не надходило.</w:t>
      </w:r>
    </w:p>
    <w:p w:rsidR="00173655" w:rsidRPr="00173655" w:rsidRDefault="00173655" w:rsidP="00173655">
      <w:pPr>
        <w:ind w:left="360"/>
        <w:jc w:val="both"/>
      </w:pPr>
    </w:p>
    <w:p w:rsidR="00173655" w:rsidRPr="00173655" w:rsidRDefault="00173655" w:rsidP="00173655">
      <w:pPr>
        <w:numPr>
          <w:ilvl w:val="0"/>
          <w:numId w:val="35"/>
        </w:numPr>
        <w:tabs>
          <w:tab w:val="clear" w:pos="-180"/>
          <w:tab w:val="num" w:pos="-360"/>
        </w:tabs>
        <w:ind w:left="360"/>
        <w:contextualSpacing/>
        <w:jc w:val="both"/>
      </w:pPr>
      <w:r w:rsidRPr="00173655">
        <w:t>Листом від 17.11.2021 № 500-29/05-16381 Комітетом надіслано копію  розпорядження про початок розгляду справи № 500-26.15/31-21-ДД та запитано додаткову інформацію.</w:t>
      </w:r>
    </w:p>
    <w:p w:rsidR="00173655" w:rsidRPr="00173655" w:rsidRDefault="00173655" w:rsidP="00173655">
      <w:pPr>
        <w:ind w:left="360"/>
        <w:jc w:val="both"/>
      </w:pPr>
    </w:p>
    <w:p w:rsidR="00173655" w:rsidRPr="00173655" w:rsidRDefault="00173655" w:rsidP="00173655">
      <w:pPr>
        <w:numPr>
          <w:ilvl w:val="0"/>
          <w:numId w:val="35"/>
        </w:numPr>
        <w:tabs>
          <w:tab w:val="clear" w:pos="-180"/>
          <w:tab w:val="num" w:pos="-360"/>
        </w:tabs>
        <w:ind w:left="360"/>
        <w:contextualSpacing/>
        <w:jc w:val="both"/>
        <w:rPr>
          <w:lang w:eastAsia="ru-RU"/>
        </w:rPr>
      </w:pPr>
      <w:r w:rsidRPr="00173655">
        <w:t>Листом</w:t>
      </w:r>
      <w:r w:rsidRPr="00173655">
        <w:rPr>
          <w:lang w:eastAsia="ru-RU"/>
        </w:rPr>
        <w:t xml:space="preserve"> вх. № 5-05/16871 від 07.12.2021 Департаментом міського господарства Одеської міської ради надано запитувану інформацію.</w:t>
      </w:r>
    </w:p>
    <w:p w:rsidR="00173655" w:rsidRPr="00173655" w:rsidRDefault="00173655" w:rsidP="00173655">
      <w:pPr>
        <w:pStyle w:val="af6"/>
        <w:rPr>
          <w:lang w:eastAsia="ru-RU"/>
        </w:rPr>
      </w:pPr>
    </w:p>
    <w:p w:rsidR="00173655" w:rsidRPr="00173655" w:rsidRDefault="00173655" w:rsidP="00173655">
      <w:pPr>
        <w:numPr>
          <w:ilvl w:val="0"/>
          <w:numId w:val="35"/>
        </w:numPr>
        <w:tabs>
          <w:tab w:val="clear" w:pos="-180"/>
          <w:tab w:val="num" w:pos="-360"/>
        </w:tabs>
        <w:ind w:left="360"/>
        <w:contextualSpacing/>
        <w:jc w:val="both"/>
        <w:rPr>
          <w:lang w:eastAsia="ru-RU"/>
        </w:rPr>
      </w:pPr>
      <w:r w:rsidRPr="00173655">
        <w:rPr>
          <w:lang w:eastAsia="ru-RU"/>
        </w:rPr>
        <w:t xml:space="preserve">Департамент міського господарства Одеської міської ради </w:t>
      </w:r>
      <w:r w:rsidR="00A74292">
        <w:rPr>
          <w:lang w:eastAsia="ru-RU"/>
        </w:rPr>
        <w:t xml:space="preserve">листом від 22.12.2021 </w:t>
      </w:r>
      <w:r w:rsidR="00A74292">
        <w:rPr>
          <w:lang w:eastAsia="ru-RU"/>
        </w:rPr>
        <w:br/>
        <w:t xml:space="preserve">№ 1577/вих. </w:t>
      </w:r>
      <w:r w:rsidRPr="00173655">
        <w:rPr>
          <w:lang w:eastAsia="ru-RU"/>
        </w:rPr>
        <w:t xml:space="preserve">повідомив про відсутність зауважень до подання з попередніми висновками </w:t>
      </w:r>
      <w:r w:rsidRPr="00173655">
        <w:t>№ 500-26.15/51-21-ДД/</w:t>
      </w:r>
      <w:r w:rsidR="00365B72">
        <w:t>597</w:t>
      </w:r>
      <w:r w:rsidRPr="00173655">
        <w:t>-спр</w:t>
      </w:r>
      <w:r w:rsidR="005F72C3">
        <w:t>.</w:t>
      </w:r>
    </w:p>
    <w:p w:rsidR="00173655" w:rsidRPr="00173655" w:rsidRDefault="00173655" w:rsidP="00173655">
      <w:pPr>
        <w:pStyle w:val="af6"/>
        <w:rPr>
          <w:lang w:eastAsia="ru-RU"/>
        </w:rPr>
      </w:pPr>
    </w:p>
    <w:p w:rsidR="00173655" w:rsidRPr="00173655" w:rsidRDefault="00173655" w:rsidP="00173655">
      <w:pPr>
        <w:numPr>
          <w:ilvl w:val="0"/>
          <w:numId w:val="33"/>
        </w:numPr>
        <w:tabs>
          <w:tab w:val="left" w:pos="567"/>
        </w:tabs>
        <w:ind w:left="567" w:hanging="567"/>
        <w:contextualSpacing/>
        <w:rPr>
          <w:b/>
        </w:rPr>
      </w:pPr>
      <w:r w:rsidRPr="00173655">
        <w:rPr>
          <w:b/>
        </w:rPr>
        <w:t>ВІДОМОСТІ ВІД НАДАВАЧА ДЕРЖАВНОЇ ДОПОМОГИ</w:t>
      </w:r>
    </w:p>
    <w:p w:rsidR="00173655" w:rsidRPr="00173655" w:rsidRDefault="00173655" w:rsidP="00173655">
      <w:pPr>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1" w:name="bookmark2"/>
      <w:r w:rsidRPr="00173655">
        <w:rPr>
          <w:sz w:val="24"/>
          <w:szCs w:val="24"/>
          <w:lang w:val="uk-UA"/>
        </w:rPr>
        <w:t xml:space="preserve">Надавач </w:t>
      </w:r>
      <w:bookmarkEnd w:id="1"/>
      <w:r w:rsidRPr="00173655">
        <w:rPr>
          <w:sz w:val="24"/>
          <w:szCs w:val="24"/>
          <w:lang w:val="uk-UA"/>
        </w:rPr>
        <w:t>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num" w:pos="-360"/>
        </w:tabs>
        <w:ind w:left="360"/>
        <w:jc w:val="both"/>
        <w:rPr>
          <w:lang w:eastAsia="ru-RU"/>
        </w:rPr>
      </w:pPr>
      <w:r w:rsidRPr="00173655">
        <w:t xml:space="preserve">Департамент міського господарства Одеської міської ради </w:t>
      </w:r>
      <w:r w:rsidR="00B039F0" w:rsidRPr="00173655">
        <w:rPr>
          <w:lang w:eastAsia="ru-RU"/>
        </w:rPr>
        <w:t>(далі – Департамен</w:t>
      </w:r>
      <w:r w:rsidR="00934EBE">
        <w:rPr>
          <w:lang w:eastAsia="ru-RU"/>
        </w:rPr>
        <w:t>т міського господарства</w:t>
      </w:r>
      <w:r w:rsidR="00B039F0" w:rsidRPr="00173655">
        <w:rPr>
          <w:lang w:eastAsia="ru-RU"/>
        </w:rPr>
        <w:t>)</w:t>
      </w:r>
      <w:r w:rsidR="00B039F0" w:rsidRPr="00173655">
        <w:t xml:space="preserve"> </w:t>
      </w:r>
      <w:r w:rsidRPr="00173655">
        <w:t>(м. Одеса,</w:t>
      </w:r>
      <w:r w:rsidR="009B30A4">
        <w:t xml:space="preserve"> </w:t>
      </w:r>
      <w:r w:rsidRPr="00173655">
        <w:t>вул. Косовська, 2Д, ідентифікаційний код юридичної особи 34674154)</w:t>
      </w:r>
      <w:r w:rsidRPr="00173655">
        <w:rPr>
          <w:lang w:eastAsia="ru-RU"/>
        </w:rPr>
        <w:t>.</w:t>
      </w:r>
    </w:p>
    <w:p w:rsidR="00173655" w:rsidRPr="00173655" w:rsidRDefault="00173655" w:rsidP="00173655">
      <w:pPr>
        <w:ind w:left="360"/>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2" w:name="bookmark3"/>
      <w:r w:rsidRPr="00173655">
        <w:rPr>
          <w:sz w:val="24"/>
          <w:szCs w:val="24"/>
          <w:lang w:val="uk-UA"/>
        </w:rPr>
        <w:t xml:space="preserve">Отримувачі </w:t>
      </w:r>
      <w:bookmarkEnd w:id="2"/>
      <w:r w:rsidRPr="00173655">
        <w:rPr>
          <w:sz w:val="24"/>
          <w:szCs w:val="24"/>
          <w:lang w:val="uk-UA"/>
        </w:rPr>
        <w:t>державної допомоги</w:t>
      </w:r>
    </w:p>
    <w:p w:rsidR="00173655" w:rsidRPr="00173655" w:rsidRDefault="00173655" w:rsidP="00173655">
      <w:pPr>
        <w:ind w:left="360"/>
        <w:jc w:val="both"/>
      </w:pPr>
    </w:p>
    <w:p w:rsidR="00173655" w:rsidRPr="00173655" w:rsidRDefault="00173655" w:rsidP="00173655">
      <w:pPr>
        <w:numPr>
          <w:ilvl w:val="0"/>
          <w:numId w:val="35"/>
        </w:numPr>
        <w:tabs>
          <w:tab w:val="clear" w:pos="-180"/>
          <w:tab w:val="num" w:pos="-360"/>
        </w:tabs>
        <w:ind w:left="567" w:hanging="567"/>
        <w:jc w:val="both"/>
      </w:pPr>
      <w:r w:rsidRPr="00173655">
        <w:t xml:space="preserve">Комунальне підприємство «Одесміськелектротранс» </w:t>
      </w:r>
      <w:r w:rsidR="00C00D2D">
        <w:t>(далі </w:t>
      </w:r>
      <w:r w:rsidR="00C00D2D" w:rsidRPr="00173655">
        <w:t xml:space="preserve">– КП «Одесміськелектротранс») </w:t>
      </w:r>
      <w:r w:rsidRPr="00173655">
        <w:t>(м. Одеса, вул. Водопровідна, 1, ідентифікаційний код юридичної особи 03328497).</w:t>
      </w:r>
    </w:p>
    <w:p w:rsidR="00173655" w:rsidRPr="00173655" w:rsidRDefault="00173655" w:rsidP="00173655">
      <w:pPr>
        <w:ind w:left="360"/>
        <w:jc w:val="both"/>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3" w:name="bookmark4"/>
      <w:r w:rsidRPr="00173655">
        <w:rPr>
          <w:sz w:val="24"/>
          <w:szCs w:val="24"/>
          <w:lang w:val="uk-UA"/>
        </w:rPr>
        <w:t xml:space="preserve">Мета (ціль) </w:t>
      </w:r>
      <w:bookmarkEnd w:id="3"/>
      <w:r w:rsidRPr="00173655">
        <w:rPr>
          <w:sz w:val="24"/>
          <w:szCs w:val="24"/>
          <w:lang w:val="uk-UA"/>
        </w:rPr>
        <w:t>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567" w:hanging="567"/>
        <w:jc w:val="both"/>
        <w:rPr>
          <w:lang w:eastAsia="ru-RU"/>
        </w:rPr>
      </w:pPr>
      <w:r w:rsidRPr="00173655">
        <w:t>Забезпечення комфортних та безпечних умов пересування усіх категорій громадян міським електротранспортом, зокрема, людей з особливими потребами.</w:t>
      </w:r>
    </w:p>
    <w:p w:rsidR="00173655" w:rsidRPr="00173655" w:rsidRDefault="00173655" w:rsidP="00173655">
      <w:pPr>
        <w:ind w:left="360"/>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4" w:name="bookmark5"/>
      <w:r w:rsidRPr="00173655">
        <w:rPr>
          <w:sz w:val="24"/>
          <w:szCs w:val="24"/>
          <w:lang w:val="uk-UA"/>
        </w:rPr>
        <w:t>Очікуваний результат</w:t>
      </w:r>
      <w:bookmarkEnd w:id="4"/>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426" w:hanging="426"/>
        <w:jc w:val="both"/>
      </w:pPr>
      <w:r w:rsidRPr="00173655">
        <w:t xml:space="preserve">Створення належних умов для надання населенню доступних, якісних та безпечних послуг </w:t>
      </w:r>
      <w:r w:rsidR="00C00D2D">
        <w:t>і</w:t>
      </w:r>
      <w:r w:rsidRPr="00173655">
        <w:t xml:space="preserve">з перевезення електричним транспортом, розвиток електротранспорту з урахуванням потреб осіб з обмеженими фізичними можливостями, забезпечення сталого функціонування </w:t>
      </w:r>
      <w:r w:rsidR="00C00D2D">
        <w:t>й</w:t>
      </w:r>
      <w:r w:rsidR="00C00D2D" w:rsidRPr="00173655">
        <w:t xml:space="preserve"> </w:t>
      </w:r>
      <w:r w:rsidRPr="00173655">
        <w:t>подальшого розвитку міського електротранспорту, підвищення рівня технічного оснащення КП «Одесміськелектротранс» та ефективності його роботи, капітальний ремонт та оновлення рухомого складу, колійної мережі, контактно-кабельної мережі тощо.</w:t>
      </w:r>
    </w:p>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426" w:hanging="426"/>
        <w:jc w:val="both"/>
      </w:pPr>
      <w:r w:rsidRPr="00173655">
        <w:t>Компенсація обґрунтованих витрат за надання послуг, що становлять загальний економічний інтерес</w:t>
      </w:r>
      <w:r w:rsidR="00934EBE">
        <w:t>,</w:t>
      </w:r>
      <w:r w:rsidRPr="00173655">
        <w:t xml:space="preserve"> – перевезення пасажирів міським електротранспортом у місті Одесі, а також капітальні видатки на оновлення рухомого складу, розвиток транспортної мережі, розвиток інфраструктури міського електротранспорту.</w:t>
      </w:r>
    </w:p>
    <w:p w:rsidR="00173655" w:rsidRPr="00173655" w:rsidRDefault="00173655" w:rsidP="00173655">
      <w:pPr>
        <w:ind w:left="360"/>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5" w:name="bookmark6"/>
      <w:r w:rsidRPr="00173655">
        <w:rPr>
          <w:sz w:val="24"/>
          <w:szCs w:val="24"/>
          <w:lang w:val="uk-UA"/>
        </w:rPr>
        <w:t xml:space="preserve">Форма </w:t>
      </w:r>
      <w:bookmarkEnd w:id="5"/>
      <w:r w:rsidRPr="00173655">
        <w:rPr>
          <w:sz w:val="24"/>
          <w:szCs w:val="24"/>
          <w:lang w:val="uk-UA"/>
        </w:rPr>
        <w:t>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360" w:hanging="426"/>
        <w:jc w:val="both"/>
        <w:rPr>
          <w:lang w:eastAsia="ru-RU"/>
        </w:rPr>
      </w:pPr>
      <w:r w:rsidRPr="00173655">
        <w:t>Субсидії, поточні трансферти з бюджету м</w:t>
      </w:r>
      <w:r w:rsidR="00C00D2D">
        <w:t>іста</w:t>
      </w:r>
      <w:r w:rsidRPr="00173655">
        <w:t xml:space="preserve"> Одеси на утримання та розвиток міського електротранспорту та місцева гарантія відповідно до Фінансової угоди («Міський </w:t>
      </w:r>
      <w:r w:rsidRPr="00173655">
        <w:lastRenderedPageBreak/>
        <w:t>громадський транспорт України ІІ»)</w:t>
      </w:r>
      <w:r w:rsidR="00934EBE">
        <w:t>,</w:t>
      </w:r>
      <w:r w:rsidRPr="00173655">
        <w:t xml:space="preserve"> укладеної між Україною та Європейським інвестиційним банком.</w:t>
      </w:r>
    </w:p>
    <w:p w:rsidR="00173655" w:rsidRPr="00173655" w:rsidRDefault="00173655" w:rsidP="00173655">
      <w:pPr>
        <w:ind w:left="360"/>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6" w:name="bookmark7"/>
      <w:r w:rsidRPr="00173655">
        <w:rPr>
          <w:sz w:val="24"/>
          <w:szCs w:val="24"/>
          <w:lang w:val="uk-UA"/>
        </w:rPr>
        <w:t xml:space="preserve">Обсяг </w:t>
      </w:r>
      <w:bookmarkEnd w:id="6"/>
      <w:r w:rsidRPr="00173655">
        <w:rPr>
          <w:sz w:val="24"/>
          <w:szCs w:val="24"/>
          <w:lang w:val="uk-UA"/>
        </w:rPr>
        <w:t>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426" w:hanging="426"/>
        <w:jc w:val="both"/>
        <w:rPr>
          <w:lang w:eastAsia="ru-RU"/>
        </w:rPr>
      </w:pPr>
      <w:r w:rsidRPr="00173655">
        <w:rPr>
          <w:lang w:eastAsia="ru-RU"/>
        </w:rPr>
        <w:t xml:space="preserve">Загальний </w:t>
      </w:r>
      <w:r w:rsidRPr="00173655">
        <w:t>обсяг</w:t>
      </w:r>
      <w:r w:rsidRPr="00173655">
        <w:rPr>
          <w:lang w:eastAsia="ru-RU"/>
        </w:rPr>
        <w:t xml:space="preserve"> підтримки – </w:t>
      </w:r>
      <w:r w:rsidRPr="00173655">
        <w:t>6 515 020 500 гр</w:t>
      </w:r>
      <w:r w:rsidR="00934EBE">
        <w:t>н</w:t>
      </w:r>
      <w:r w:rsidRPr="00173655">
        <w:rPr>
          <w:lang w:eastAsia="ru-RU"/>
        </w:rPr>
        <w:t>.</w:t>
      </w:r>
    </w:p>
    <w:p w:rsidR="00173655" w:rsidRPr="00173655" w:rsidRDefault="00173655" w:rsidP="00173655">
      <w:pPr>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7" w:name="bookmark8"/>
      <w:r w:rsidRPr="00173655">
        <w:rPr>
          <w:sz w:val="24"/>
          <w:szCs w:val="24"/>
          <w:lang w:val="uk-UA"/>
        </w:rPr>
        <w:t xml:space="preserve">Підстава для надання </w:t>
      </w:r>
      <w:bookmarkEnd w:id="7"/>
      <w:r w:rsidRPr="00173655">
        <w:rPr>
          <w:sz w:val="24"/>
          <w:szCs w:val="24"/>
          <w:lang w:val="uk-UA"/>
        </w:rPr>
        <w:t>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426" w:hanging="426"/>
        <w:jc w:val="both"/>
        <w:rPr>
          <w:lang w:eastAsia="ru-RU"/>
        </w:rPr>
      </w:pPr>
      <w:r w:rsidRPr="00173655">
        <w:t>Про</w:t>
      </w:r>
      <w:r w:rsidR="00934EBE">
        <w:t>є</w:t>
      </w:r>
      <w:r w:rsidRPr="00173655">
        <w:t>кт Міської цільової програми розвитку електротранспорту м. Одеси на 2022 – 2026 роки (далі – Програма)</w:t>
      </w:r>
      <w:r w:rsidRPr="00173655">
        <w:rPr>
          <w:lang w:eastAsia="ru-RU"/>
        </w:rPr>
        <w:t>.</w:t>
      </w:r>
    </w:p>
    <w:p w:rsidR="00173655" w:rsidRPr="00173655" w:rsidRDefault="00173655" w:rsidP="00173655">
      <w:pPr>
        <w:ind w:left="360"/>
        <w:jc w:val="both"/>
        <w:rPr>
          <w:lang w:eastAsia="ru-RU"/>
        </w:rPr>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bookmarkStart w:id="8" w:name="bookmark9"/>
      <w:r w:rsidRPr="00173655">
        <w:rPr>
          <w:sz w:val="24"/>
          <w:szCs w:val="24"/>
          <w:lang w:val="uk-UA"/>
        </w:rPr>
        <w:t xml:space="preserve">Тривалість </w:t>
      </w:r>
      <w:bookmarkEnd w:id="8"/>
      <w:r w:rsidRPr="00173655">
        <w:rPr>
          <w:sz w:val="24"/>
          <w:szCs w:val="24"/>
          <w:lang w:val="uk-UA"/>
        </w:rPr>
        <w:t xml:space="preserve"> державної допомоги</w:t>
      </w:r>
    </w:p>
    <w:p w:rsidR="00173655" w:rsidRPr="00173655" w:rsidRDefault="00173655" w:rsidP="00173655">
      <w:pPr>
        <w:pStyle w:val="Heading10"/>
        <w:keepNext/>
        <w:keepLines/>
        <w:shd w:val="clear" w:color="auto" w:fill="auto"/>
        <w:tabs>
          <w:tab w:val="left" w:pos="471"/>
        </w:tabs>
        <w:spacing w:before="0" w:line="240" w:lineRule="exact"/>
        <w:ind w:left="360" w:firstLine="0"/>
        <w:jc w:val="both"/>
        <w:rPr>
          <w:lang w:val="uk-UA"/>
        </w:rPr>
      </w:pPr>
    </w:p>
    <w:p w:rsidR="00173655" w:rsidRPr="00173655" w:rsidRDefault="00173655" w:rsidP="00173655">
      <w:pPr>
        <w:numPr>
          <w:ilvl w:val="0"/>
          <w:numId w:val="35"/>
        </w:numPr>
        <w:tabs>
          <w:tab w:val="clear" w:pos="-180"/>
          <w:tab w:val="num" w:pos="-360"/>
        </w:tabs>
        <w:ind w:left="567" w:hanging="567"/>
        <w:jc w:val="both"/>
      </w:pPr>
      <w:r w:rsidRPr="00173655">
        <w:t>З 01.01.2022 по 31.12.2026.</w:t>
      </w:r>
    </w:p>
    <w:p w:rsidR="00173655" w:rsidRPr="00173655" w:rsidRDefault="00173655" w:rsidP="00173655">
      <w:pPr>
        <w:ind w:left="360"/>
        <w:jc w:val="both"/>
      </w:pPr>
    </w:p>
    <w:p w:rsidR="00173655" w:rsidRPr="00173655" w:rsidRDefault="00173655" w:rsidP="00173655">
      <w:pPr>
        <w:pStyle w:val="Heading10"/>
        <w:keepNext/>
        <w:keepLines/>
        <w:numPr>
          <w:ilvl w:val="1"/>
          <w:numId w:val="33"/>
        </w:numPr>
        <w:shd w:val="clear" w:color="auto" w:fill="auto"/>
        <w:tabs>
          <w:tab w:val="left" w:pos="471"/>
        </w:tabs>
        <w:spacing w:before="0" w:line="240" w:lineRule="exact"/>
        <w:ind w:left="426"/>
        <w:jc w:val="both"/>
        <w:rPr>
          <w:sz w:val="24"/>
          <w:szCs w:val="24"/>
          <w:lang w:val="uk-UA"/>
        </w:rPr>
      </w:pPr>
      <w:r w:rsidRPr="00173655">
        <w:rPr>
          <w:sz w:val="24"/>
          <w:szCs w:val="24"/>
          <w:lang w:val="uk-UA"/>
        </w:rPr>
        <w:t>Інформація щодо програми</w:t>
      </w:r>
    </w:p>
    <w:p w:rsidR="00173655" w:rsidRPr="00173655" w:rsidRDefault="00173655" w:rsidP="00173655">
      <w:pPr>
        <w:tabs>
          <w:tab w:val="left" w:pos="567"/>
        </w:tabs>
        <w:ind w:left="284"/>
        <w:contextualSpacing/>
        <w:jc w:val="both"/>
        <w:rPr>
          <w:b/>
          <w:bCs/>
        </w:rPr>
      </w:pPr>
    </w:p>
    <w:p w:rsidR="00173655" w:rsidRPr="00173655" w:rsidRDefault="00173655" w:rsidP="00173655">
      <w:pPr>
        <w:numPr>
          <w:ilvl w:val="0"/>
          <w:numId w:val="35"/>
        </w:numPr>
        <w:tabs>
          <w:tab w:val="clear" w:pos="-180"/>
          <w:tab w:val="num" w:pos="-360"/>
        </w:tabs>
        <w:ind w:left="567" w:hanging="567"/>
        <w:jc w:val="both"/>
      </w:pPr>
      <w:r w:rsidRPr="00173655">
        <w:t>На підставі договору про організацію надання транспортних послуг і перевезень міським електричним транспортом на 2020 – 2029 роки від 10.12.2020 КП «Одесміськелектротранс» здійснює пасажирські перевезення міським електричним транспортом (трамваями та тролейбусами) у м</w:t>
      </w:r>
      <w:r w:rsidR="00934EBE">
        <w:t>істі</w:t>
      </w:r>
      <w:r w:rsidRPr="00173655">
        <w:t xml:space="preserve"> Одесі.</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s>
        <w:ind w:left="567" w:hanging="567"/>
        <w:jc w:val="both"/>
      </w:pPr>
      <w:r w:rsidRPr="00173655">
        <w:t xml:space="preserve">Рішенням виконавчого комітету Одеської міської ради від 29.11.2018 № 516 встановлено з 01 грудня 2018 </w:t>
      </w:r>
      <w:r w:rsidR="00C00D2D">
        <w:t xml:space="preserve">року </w:t>
      </w:r>
      <w:r w:rsidRPr="00173655">
        <w:t>комунальному підприємству «Одесміськелектротранс» тарифи на:</w:t>
      </w:r>
    </w:p>
    <w:p w:rsidR="00173655" w:rsidRPr="00173655" w:rsidRDefault="00173655" w:rsidP="00173655">
      <w:pPr>
        <w:numPr>
          <w:ilvl w:val="0"/>
          <w:numId w:val="36"/>
        </w:numPr>
        <w:ind w:left="567" w:hanging="567"/>
        <w:jc w:val="both"/>
      </w:pPr>
      <w:r w:rsidRPr="00173655">
        <w:t>послуги з перевезення пасажирів міським електричним транспортом (трамвай, тролейбус) у розмірі 5 грн за разове перевезення одного пасажира;</w:t>
      </w:r>
    </w:p>
    <w:p w:rsidR="00173655" w:rsidRPr="00173655" w:rsidRDefault="00173655" w:rsidP="00173655">
      <w:pPr>
        <w:numPr>
          <w:ilvl w:val="0"/>
          <w:numId w:val="36"/>
        </w:numPr>
        <w:ind w:left="567" w:hanging="567"/>
        <w:jc w:val="both"/>
      </w:pPr>
      <w:r w:rsidRPr="00173655">
        <w:t>послуги з перевезення пасажирів фунікулером у розмірі 5 грн за разове перевезення одного пасажира.</w:t>
      </w:r>
    </w:p>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567" w:hanging="567"/>
        <w:jc w:val="both"/>
      </w:pPr>
      <w:r w:rsidRPr="00173655">
        <w:t xml:space="preserve">За інформацією </w:t>
      </w:r>
      <w:r w:rsidR="00934EBE">
        <w:t>н</w:t>
      </w:r>
      <w:r w:rsidRPr="00173655">
        <w:t>адавача</w:t>
      </w:r>
      <w:r w:rsidR="00C00D2D">
        <w:t>,</w:t>
      </w:r>
      <w:r w:rsidRPr="00173655">
        <w:t xml:space="preserve"> проєкт Міської цільової програми розвитку електротранспорту м. Одеси на 2022 -2026 роки розроблено з метою підвищення якості транспортного обслуговування населення міста Одеси і його гостей, а також покращення екологічної ситуації </w:t>
      </w:r>
      <w:r w:rsidR="00C00D2D">
        <w:t>в</w:t>
      </w:r>
      <w:r w:rsidR="00C00D2D" w:rsidRPr="00173655">
        <w:t xml:space="preserve"> </w:t>
      </w:r>
      <w:r w:rsidRPr="00173655">
        <w:t>передмісті Одеси.</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s>
        <w:ind w:left="567" w:hanging="567"/>
        <w:jc w:val="both"/>
      </w:pPr>
      <w:r w:rsidRPr="00173655">
        <w:t>З метою розвитку маршрутної мережі електротранспорту та розв’язання проблеми перевезення населення зі спальних районів до центру міста в рамках участі у про</w:t>
      </w:r>
      <w:r w:rsidR="00C00D2D">
        <w:t>є</w:t>
      </w:r>
      <w:r w:rsidRPr="00173655">
        <w:t xml:space="preserve">кті «Міський громадський транспорт України» було розроблено субпроєкт «Магістральний трамвайний маршрут прямого сполучення «Північ-Південь».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567" w:hanging="567"/>
        <w:jc w:val="both"/>
      </w:pPr>
      <w:r w:rsidRPr="00173655">
        <w:t>Реалізація про</w:t>
      </w:r>
      <w:r w:rsidR="00C00D2D">
        <w:t>є</w:t>
      </w:r>
      <w:r w:rsidRPr="00173655">
        <w:t>кту магістрального трамвайного маршруту напрямк</w:t>
      </w:r>
      <w:r w:rsidR="00C00D2D">
        <w:t>ом</w:t>
      </w:r>
      <w:r w:rsidRPr="00173655">
        <w:t xml:space="preserve"> «Північ – Південь», яка передбачає поступову заміну одиночних трамвайних вагонів на багатосекційні з низьким рівнем підлоги, а також капітальний ремонт трамвайної інфраструктури (колій та контактної мережі), що зв’яже в єдиний безпересадочний маршрут два найбільших житлових район</w:t>
      </w:r>
      <w:r w:rsidR="00C00D2D">
        <w:t>и</w:t>
      </w:r>
      <w:r w:rsidRPr="00173655">
        <w:t xml:space="preserve"> міста, дозволить збільшити об’єми пасажирських перевезень трамваєм завдяки переорієнтації пасажирів з автобусів малої пасажиромісткості і значно покращити якість пасажирських перевезень за рахунок зменшення </w:t>
      </w:r>
      <w:r w:rsidR="00934EBE">
        <w:t xml:space="preserve">часу </w:t>
      </w:r>
      <w:r w:rsidRPr="00173655">
        <w:t xml:space="preserve">перебування пасажирів </w:t>
      </w:r>
      <w:r w:rsidR="00C00D2D">
        <w:t>у</w:t>
      </w:r>
      <w:r w:rsidR="00C00D2D" w:rsidRPr="00173655">
        <w:t xml:space="preserve"> </w:t>
      </w:r>
      <w:r w:rsidRPr="00173655">
        <w:t>дорозі та надання більш комфортних умов проїзду порівнян</w:t>
      </w:r>
      <w:r w:rsidR="00C00D2D">
        <w:t>о</w:t>
      </w:r>
      <w:r w:rsidRPr="00173655">
        <w:t xml:space="preserve"> з автобусами малої пасажиромісткості. </w:t>
      </w:r>
    </w:p>
    <w:p w:rsidR="00173655" w:rsidRPr="00173655" w:rsidRDefault="00173655" w:rsidP="00173655">
      <w:pPr>
        <w:pStyle w:val="af6"/>
      </w:pPr>
    </w:p>
    <w:p w:rsidR="00173655" w:rsidRPr="00173655" w:rsidRDefault="00173655" w:rsidP="00737159">
      <w:pPr>
        <w:numPr>
          <w:ilvl w:val="0"/>
          <w:numId w:val="35"/>
        </w:numPr>
        <w:tabs>
          <w:tab w:val="clear" w:pos="-180"/>
          <w:tab w:val="num" w:pos="-360"/>
        </w:tabs>
        <w:ind w:left="567" w:hanging="567"/>
        <w:jc w:val="both"/>
      </w:pPr>
      <w:r w:rsidRPr="00173655">
        <w:t>У першій фазі реалізації субпро</w:t>
      </w:r>
      <w:r w:rsidR="00C00D2D">
        <w:t>є</w:t>
      </w:r>
      <w:r w:rsidRPr="00173655">
        <w:t xml:space="preserve">кту планується оновити рухомий склад трамвайного парку – придбати 12 од. нових трамвайних вагонів </w:t>
      </w:r>
      <w:r w:rsidR="00C00D2D">
        <w:t>і</w:t>
      </w:r>
      <w:r w:rsidRPr="00173655">
        <w:t xml:space="preserve">з низькою підлогою. </w:t>
      </w:r>
    </w:p>
    <w:p w:rsidR="00173655" w:rsidRPr="00173655" w:rsidRDefault="005F72C3" w:rsidP="00173655">
      <w:pPr>
        <w:numPr>
          <w:ilvl w:val="0"/>
          <w:numId w:val="35"/>
        </w:numPr>
        <w:tabs>
          <w:tab w:val="clear" w:pos="-180"/>
          <w:tab w:val="num" w:pos="-360"/>
        </w:tabs>
        <w:ind w:left="567" w:hanging="567"/>
        <w:jc w:val="both"/>
      </w:pPr>
      <w:r>
        <w:lastRenderedPageBreak/>
        <w:t>Із</w:t>
      </w:r>
      <w:r w:rsidR="00173655" w:rsidRPr="00173655">
        <w:t xml:space="preserve"> цією метою укладено між Міністерством фінансів України, Міністерством інфраструктури України, Одеською міською радою та комунальним підприємством «Одесміськелектротранс» угоду про передачу коштів позики № 13010-05/167 </w:t>
      </w:r>
      <w:r w:rsidR="00173655" w:rsidRPr="00173655">
        <w:br/>
        <w:t>від 23 жовтня 2019 року.</w:t>
      </w:r>
    </w:p>
    <w:p w:rsidR="00173655" w:rsidRPr="00173655" w:rsidRDefault="00173655" w:rsidP="00173655">
      <w:pPr>
        <w:pStyle w:val="af6"/>
      </w:pPr>
    </w:p>
    <w:p w:rsidR="00173655" w:rsidRPr="00173655" w:rsidRDefault="005F72C3" w:rsidP="00173655">
      <w:pPr>
        <w:numPr>
          <w:ilvl w:val="0"/>
          <w:numId w:val="35"/>
        </w:numPr>
        <w:tabs>
          <w:tab w:val="clear" w:pos="-180"/>
          <w:tab w:val="num" w:pos="-360"/>
        </w:tabs>
        <w:ind w:left="567" w:hanging="567"/>
        <w:jc w:val="both"/>
      </w:pPr>
      <w:r>
        <w:t>К</w:t>
      </w:r>
      <w:r w:rsidR="00173655" w:rsidRPr="00173655">
        <w:t>рім кредитних коштів, умови реалізації про</w:t>
      </w:r>
      <w:r>
        <w:t>є</w:t>
      </w:r>
      <w:r w:rsidR="00173655" w:rsidRPr="00173655">
        <w:t>кту передбачають також співфінансування Одесько</w:t>
      </w:r>
      <w:r w:rsidR="00C4755E">
        <w:t>ю</w:t>
      </w:r>
      <w:r w:rsidR="00173655" w:rsidRPr="00173655">
        <w:t xml:space="preserve"> міської радою </w:t>
      </w:r>
      <w:r>
        <w:t>–</w:t>
      </w:r>
      <w:r w:rsidR="00173655" w:rsidRPr="00173655">
        <w:t xml:space="preserve"> сплату ПДВ у розмірі 4 млн грн за рахунок бюджету м</w:t>
      </w:r>
      <w:r>
        <w:t>іста</w:t>
      </w:r>
      <w:r w:rsidR="00173655" w:rsidRPr="00173655">
        <w:t xml:space="preserve"> Одеси.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567" w:hanging="567"/>
        <w:jc w:val="both"/>
      </w:pPr>
      <w:r w:rsidRPr="00173655">
        <w:t xml:space="preserve">На наступній фазі реалізації субпроєкту будуть залучені кредитні кошти ЄБРР </w:t>
      </w:r>
      <w:r w:rsidR="005F72C3">
        <w:t>у</w:t>
      </w:r>
      <w:r w:rsidR="005F72C3" w:rsidRPr="00173655">
        <w:t xml:space="preserve"> </w:t>
      </w:r>
      <w:r w:rsidRPr="00173655">
        <w:t xml:space="preserve">сумі 22,25 млн євро на капітальний ремонт та реконструкцію трамвайної колії, контактної мережі </w:t>
      </w:r>
      <w:r w:rsidR="005F72C3">
        <w:t>й</w:t>
      </w:r>
      <w:r w:rsidR="005F72C3" w:rsidRPr="00173655">
        <w:t xml:space="preserve"> </w:t>
      </w:r>
      <w:r w:rsidRPr="00173655">
        <w:t>кабельних ліній, реконструкцію та модернізацію тягових підстанцій. Умови реалізації субпроєкту передбачають також співфінансування Одеською міською радою, а саме сплат</w:t>
      </w:r>
      <w:r w:rsidR="005F72C3">
        <w:t>у</w:t>
      </w:r>
      <w:r w:rsidRPr="00173655">
        <w:t xml:space="preserve"> ПДВ.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567" w:hanging="567"/>
        <w:jc w:val="both"/>
      </w:pPr>
      <w:r w:rsidRPr="00173655">
        <w:t xml:space="preserve">Відповідно до підписаної Фінансової угоди між Україною та Європейським інвестиційним банком за Проєктом «Міський громадський транспорт України ІІ», КП «Одесміськелектротранс» планує </w:t>
      </w:r>
      <w:r w:rsidR="005F72C3">
        <w:t>взяти</w:t>
      </w:r>
      <w:r w:rsidR="005F72C3" w:rsidRPr="00173655">
        <w:t xml:space="preserve"> </w:t>
      </w:r>
      <w:r w:rsidRPr="00173655">
        <w:t xml:space="preserve">участь </w:t>
      </w:r>
      <w:r w:rsidR="005F72C3">
        <w:t>у</w:t>
      </w:r>
      <w:r w:rsidR="005F72C3" w:rsidRPr="00173655">
        <w:t xml:space="preserve"> </w:t>
      </w:r>
      <w:r w:rsidRPr="00173655">
        <w:t>про</w:t>
      </w:r>
      <w:r w:rsidR="005F72C3">
        <w:t>є</w:t>
      </w:r>
      <w:r w:rsidRPr="00173655">
        <w:t xml:space="preserve">кті «Міський громадський транспорт України 2» щодо придбання електробусів за рахунок кредитних коштів Європейського інвестиційного банку </w:t>
      </w:r>
      <w:r w:rsidR="005F72C3">
        <w:t>і</w:t>
      </w:r>
      <w:r w:rsidR="005F72C3" w:rsidRPr="00173655">
        <w:t xml:space="preserve"> </w:t>
      </w:r>
      <w:r w:rsidRPr="00173655">
        <w:t xml:space="preserve">Європейського банку реконструкції та розвитку.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567" w:hanging="567"/>
        <w:jc w:val="both"/>
      </w:pPr>
      <w:r w:rsidRPr="00173655">
        <w:t xml:space="preserve"> КП «Одесміськелектротранс» підготовлено та направлено відповідну заявку про участь у про</w:t>
      </w:r>
      <w:r w:rsidR="005F72C3">
        <w:t>є</w:t>
      </w:r>
      <w:r w:rsidRPr="00173655">
        <w:t xml:space="preserve">кті на адресу Міністерства інфраструктури України. </w:t>
      </w:r>
      <w:r w:rsidR="005F72C3">
        <w:t>У</w:t>
      </w:r>
      <w:r w:rsidRPr="00173655">
        <w:t xml:space="preserve"> рамках </w:t>
      </w:r>
      <w:r w:rsidR="00C4755E">
        <w:t>п</w:t>
      </w:r>
      <w:r w:rsidRPr="00173655">
        <w:t xml:space="preserve">роєкту «Міський громадський транспорт України ІІ» передбачається придбання 30 од. електробусів та зарядних станцій. На </w:t>
      </w:r>
      <w:r w:rsidR="005F72C3">
        <w:t>цей</w:t>
      </w:r>
      <w:r w:rsidR="005F72C3" w:rsidRPr="00173655">
        <w:t xml:space="preserve"> </w:t>
      </w:r>
      <w:r w:rsidRPr="00173655">
        <w:t xml:space="preserve">час перспективною є організація електробусів </w:t>
      </w:r>
      <w:r w:rsidR="005F72C3">
        <w:t>за</w:t>
      </w:r>
      <w:r w:rsidRPr="00173655">
        <w:t xml:space="preserve"> маршрут</w:t>
      </w:r>
      <w:r w:rsidR="005F72C3">
        <w:t>ом</w:t>
      </w:r>
      <w:r w:rsidRPr="00173655">
        <w:t xml:space="preserve"> «Центр – селище Котовського» з проляганням по вул. Семена Палія до </w:t>
      </w:r>
      <w:r w:rsidR="005F72C3">
        <w:t xml:space="preserve">                        </w:t>
      </w:r>
      <w:r w:rsidRPr="00173655">
        <w:t>вул.</w:t>
      </w:r>
      <w:r w:rsidR="005F72C3">
        <w:t> </w:t>
      </w:r>
      <w:r w:rsidRPr="00173655">
        <w:t>Паустовського, що в сукупності з магістральним маршрутом «Північ</w:t>
      </w:r>
      <w:r w:rsidR="00C4755E">
        <w:t xml:space="preserve"> – </w:t>
      </w:r>
      <w:r w:rsidRPr="00173655">
        <w:t>Південь» дозволить зменшити навантаження транспортом цього напрямку за рахунок переорієнтації пасажиропотоків з автобусів малої місткості на електротранспорт.</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567" w:hanging="567"/>
        <w:jc w:val="both"/>
      </w:pPr>
      <w:r w:rsidRPr="00173655">
        <w:t xml:space="preserve">З метою виконання заходів Міської цільової програми розвитку електротранспорту м. Одеси на 2022 – 2026 роки в частині закупівлі електробусів, відповідно до висновків міжнародних консультантів компанії </w:t>
      </w:r>
      <w:r w:rsidR="005F72C3">
        <w:t>«</w:t>
      </w:r>
      <w:r w:rsidRPr="00173655">
        <w:t>Corporate Solutions Consulting Ltd (Великобританія)</w:t>
      </w:r>
      <w:r w:rsidR="005F72C3">
        <w:t>»</w:t>
      </w:r>
      <w:r w:rsidRPr="00173655">
        <w:t xml:space="preserve">, найбільш економічно обґрунтованим для запланованих маршрутів буде придбання електробусів з електродинамічною підзарядкою, які відповідно до паспортів їх виробників класифікуються як тролейбуси з електродинамічною підзарядкою з автономним ходом. </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s>
        <w:ind w:left="567" w:hanging="567"/>
        <w:jc w:val="both"/>
      </w:pPr>
      <w:r w:rsidRPr="00173655">
        <w:t xml:space="preserve">Такі тролейбуси здійснюють рух на маршрутах громадського транспорту за допомогою електродвигуна </w:t>
      </w:r>
      <w:r w:rsidR="005F72C3">
        <w:t>в</w:t>
      </w:r>
      <w:r w:rsidR="005F72C3" w:rsidRPr="00173655">
        <w:t xml:space="preserve"> </w:t>
      </w:r>
      <w:r w:rsidRPr="00173655">
        <w:t xml:space="preserve">режимі живлення від контактної мережі напругою 600 В. </w:t>
      </w:r>
      <w:r w:rsidR="005F72C3">
        <w:t>Під час</w:t>
      </w:r>
      <w:r w:rsidR="005F72C3" w:rsidRPr="00173655">
        <w:t xml:space="preserve"> </w:t>
      </w:r>
      <w:r w:rsidRPr="00173655">
        <w:t>ру</w:t>
      </w:r>
      <w:r w:rsidR="005F72C3">
        <w:t>ху</w:t>
      </w:r>
      <w:r w:rsidRPr="00173655">
        <w:t xml:space="preserve"> з підключенням до контактної мережі проводиться зарядка спеціальних акумуляторних батарей, додатково встановлених на тролейбусі, що при відключенні тролейбуса від мережі постачання електричної енергії забезпечують можливість руху тролейбус</w:t>
      </w:r>
      <w:r w:rsidR="005F72C3">
        <w:t>а</w:t>
      </w:r>
      <w:r w:rsidRPr="00173655">
        <w:t xml:space="preserve"> на так званому автономному русі на відстань, передбачен</w:t>
      </w:r>
      <w:r w:rsidR="00297777">
        <w:t>у</w:t>
      </w:r>
      <w:r w:rsidRPr="00173655">
        <w:t xml:space="preserve"> ємністю акумуляторної батареї. </w:t>
      </w:r>
    </w:p>
    <w:p w:rsidR="00173655" w:rsidRPr="00173655" w:rsidRDefault="00173655" w:rsidP="00173655">
      <w:pPr>
        <w:jc w:val="both"/>
      </w:pPr>
    </w:p>
    <w:p w:rsidR="00173655" w:rsidRPr="00173655" w:rsidRDefault="00173655" w:rsidP="00737159">
      <w:pPr>
        <w:numPr>
          <w:ilvl w:val="0"/>
          <w:numId w:val="35"/>
        </w:numPr>
        <w:tabs>
          <w:tab w:val="clear" w:pos="-180"/>
          <w:tab w:val="num" w:pos="-360"/>
        </w:tabs>
        <w:ind w:left="567" w:hanging="567"/>
        <w:jc w:val="both"/>
      </w:pPr>
      <w:r w:rsidRPr="00173655">
        <w:t xml:space="preserve">Транспортні засоби вказаної конструкції мають сертифікати УКСЕПРО, де вид транспортного засобу зазначений як тролейбус. Відповідно до Закону України «Про міський електричний транспорт» тролейбуси визначені як об’єкт міського електротранспорту. </w:t>
      </w:r>
      <w:r w:rsidR="003B2822">
        <w:t>Отже</w:t>
      </w:r>
      <w:r w:rsidRPr="00173655">
        <w:t xml:space="preserve">, </w:t>
      </w:r>
      <w:r w:rsidR="003B2822">
        <w:t>у</w:t>
      </w:r>
      <w:r w:rsidR="003B2822" w:rsidRPr="00173655">
        <w:t xml:space="preserve"> </w:t>
      </w:r>
      <w:r w:rsidRPr="00173655">
        <w:t>рамках зазначених заходів будуть придбані тролейбуси, які  працювати</w:t>
      </w:r>
      <w:r w:rsidR="003B2822">
        <w:t>муть</w:t>
      </w:r>
      <w:r w:rsidRPr="00173655">
        <w:t xml:space="preserve"> на маршрутах електротранспорту та не потребують участі </w:t>
      </w:r>
      <w:r w:rsidR="003B2822">
        <w:t>в</w:t>
      </w:r>
      <w:r w:rsidR="003B2822" w:rsidRPr="00173655">
        <w:t xml:space="preserve"> </w:t>
      </w:r>
      <w:r w:rsidRPr="00173655">
        <w:t>конкурсах на обслуговування маршрутів.</w:t>
      </w:r>
    </w:p>
    <w:p w:rsidR="00173655" w:rsidRPr="00173655" w:rsidRDefault="00173655" w:rsidP="00173655">
      <w:pPr>
        <w:numPr>
          <w:ilvl w:val="0"/>
          <w:numId w:val="35"/>
        </w:numPr>
        <w:tabs>
          <w:tab w:val="clear" w:pos="-180"/>
          <w:tab w:val="num" w:pos="-360"/>
        </w:tabs>
        <w:ind w:left="567" w:hanging="567"/>
        <w:jc w:val="both"/>
      </w:pPr>
      <w:r w:rsidRPr="00173655">
        <w:lastRenderedPageBreak/>
        <w:t>Відповідно до інформації</w:t>
      </w:r>
      <w:r w:rsidR="009C57C0">
        <w:t>,</w:t>
      </w:r>
      <w:r w:rsidRPr="00173655">
        <w:t xml:space="preserve"> наданої Департаментом міського господарства Одеської міської ради </w:t>
      </w:r>
      <w:r w:rsidR="009C57C0">
        <w:t>(</w:t>
      </w:r>
      <w:r w:rsidRPr="00173655">
        <w:t>вх. № 5-05/16871  від 07.12.2021</w:t>
      </w:r>
      <w:r w:rsidR="009C57C0">
        <w:t>),</w:t>
      </w:r>
      <w:r w:rsidRPr="00173655">
        <w:t xml:space="preserve"> гарантія Одеської міської ради є однією з основних умов отримання інвестиційних коштів від Європейського інвестиційного банку (далі – ЄІБ). </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s>
        <w:ind w:left="567" w:hanging="567"/>
        <w:jc w:val="both"/>
      </w:pPr>
      <w:r w:rsidRPr="00173655">
        <w:t xml:space="preserve">Загальна сума кредиту, передбачена для КП «Одесміськелектротранс» в рамках Фінансової угоди з ЄІБ  планується </w:t>
      </w:r>
      <w:r w:rsidR="009C57C0">
        <w:t>в</w:t>
      </w:r>
      <w:r w:rsidR="009C57C0" w:rsidRPr="00173655">
        <w:t xml:space="preserve"> </w:t>
      </w:r>
      <w:r w:rsidRPr="00173655">
        <w:t>розмірі 15,6 млн</w:t>
      </w:r>
      <w:r w:rsidR="009C57C0">
        <w:t xml:space="preserve"> </w:t>
      </w:r>
      <w:r w:rsidRPr="00173655">
        <w:t>євро, під 2</w:t>
      </w:r>
      <w:r w:rsidR="009C57C0">
        <w:t> </w:t>
      </w:r>
      <w:r w:rsidRPr="00173655">
        <w:t xml:space="preserve">% річних строком на 22 роки. Кошти будуть надаватися під місцеву гарантію Одеської міської ради, загальна плата за надання якої </w:t>
      </w:r>
      <w:r w:rsidR="009C57C0">
        <w:t>становити</w:t>
      </w:r>
      <w:r w:rsidR="002E7319">
        <w:t>ме</w:t>
      </w:r>
      <w:r w:rsidR="009C57C0">
        <w:t xml:space="preserve"> одну гривню</w:t>
      </w:r>
      <w:r w:rsidRPr="00173655">
        <w:t>. Придбання рухомого складу планується здійснити протягом наступних двох років.</w:t>
      </w:r>
    </w:p>
    <w:p w:rsidR="00173655" w:rsidRPr="00173655" w:rsidRDefault="00173655" w:rsidP="00173655">
      <w:pPr>
        <w:ind w:left="567"/>
        <w:jc w:val="both"/>
      </w:pPr>
    </w:p>
    <w:p w:rsidR="00173655" w:rsidRDefault="00173655" w:rsidP="00173655">
      <w:pPr>
        <w:numPr>
          <w:ilvl w:val="0"/>
          <w:numId w:val="35"/>
        </w:numPr>
        <w:tabs>
          <w:tab w:val="clear" w:pos="-180"/>
          <w:tab w:val="num" w:pos="-360"/>
        </w:tabs>
        <w:ind w:left="567" w:hanging="567"/>
        <w:jc w:val="both"/>
      </w:pPr>
      <w:r w:rsidRPr="00173655">
        <w:t>Відповідно до проєкту Міської цільової програми розвитку електротранспорту м. Одеси на 2022 -2026 роки</w:t>
      </w:r>
      <w:r w:rsidR="00E1300F">
        <w:t>,</w:t>
      </w:r>
      <w:r w:rsidRPr="00173655">
        <w:t xml:space="preserve"> за рахунок коштів бюджету міста Одеси та коштів КП «Одесміськелектротранс» планується реаліз</w:t>
      </w:r>
      <w:r w:rsidR="00E1300F">
        <w:t>увати</w:t>
      </w:r>
      <w:r w:rsidRPr="00173655">
        <w:t xml:space="preserve"> </w:t>
      </w:r>
      <w:r w:rsidR="00E1300F">
        <w:t xml:space="preserve">такі </w:t>
      </w:r>
      <w:r w:rsidRPr="00173655">
        <w:t>заход</w:t>
      </w:r>
      <w:r w:rsidR="00E1300F">
        <w:t>и</w:t>
      </w:r>
      <w:r w:rsidRPr="00173655">
        <w:t>:</w:t>
      </w:r>
    </w:p>
    <w:p w:rsidR="00872971" w:rsidRPr="00173655" w:rsidRDefault="00872971" w:rsidP="00737159">
      <w:pPr>
        <w:jc w:val="both"/>
      </w:pP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2693"/>
        <w:gridCol w:w="1559"/>
      </w:tblGrid>
      <w:tr w:rsidR="00173655" w:rsidRPr="00737159" w:rsidTr="00CE041D">
        <w:trPr>
          <w:trHeight w:val="903"/>
        </w:trPr>
        <w:tc>
          <w:tcPr>
            <w:tcW w:w="4977" w:type="dxa"/>
            <w:tcBorders>
              <w:top w:val="single" w:sz="4" w:space="0" w:color="auto"/>
              <w:left w:val="single" w:sz="4" w:space="0" w:color="auto"/>
              <w:bottom w:val="single" w:sz="4" w:space="0" w:color="auto"/>
              <w:right w:val="single" w:sz="4" w:space="0" w:color="auto"/>
            </w:tcBorders>
            <w:vAlign w:val="center"/>
            <w:hideMark/>
          </w:tcPr>
          <w:p w:rsidR="00173655" w:rsidRPr="00737159" w:rsidRDefault="00173655" w:rsidP="00CE041D">
            <w:pPr>
              <w:jc w:val="center"/>
              <w:rPr>
                <w:i/>
                <w:sz w:val="22"/>
                <w:szCs w:val="22"/>
                <w:lang w:eastAsia="ru-RU"/>
              </w:rPr>
            </w:pPr>
            <w:r w:rsidRPr="00737159">
              <w:rPr>
                <w:i/>
                <w:sz w:val="22"/>
                <w:szCs w:val="22"/>
                <w:lang w:eastAsia="ru-RU"/>
              </w:rPr>
              <w:t>Перелік заходів Програми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173655" w:rsidRPr="00737159" w:rsidRDefault="00173655" w:rsidP="00CE041D">
            <w:pPr>
              <w:jc w:val="center"/>
              <w:rPr>
                <w:i/>
                <w:sz w:val="22"/>
                <w:szCs w:val="22"/>
                <w:lang w:eastAsia="ru-RU"/>
              </w:rPr>
            </w:pPr>
            <w:r w:rsidRPr="00737159">
              <w:rPr>
                <w:i/>
                <w:sz w:val="22"/>
                <w:szCs w:val="22"/>
                <w:lang w:eastAsia="ru-RU"/>
              </w:rPr>
              <w:t>Джерела фінансування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173655" w:rsidRPr="00737159" w:rsidRDefault="00173655" w:rsidP="00CE041D">
            <w:pPr>
              <w:jc w:val="center"/>
              <w:rPr>
                <w:i/>
                <w:sz w:val="22"/>
                <w:szCs w:val="22"/>
                <w:lang w:eastAsia="ru-RU"/>
              </w:rPr>
            </w:pPr>
            <w:r w:rsidRPr="00737159">
              <w:rPr>
                <w:i/>
                <w:sz w:val="22"/>
                <w:szCs w:val="22"/>
                <w:lang w:eastAsia="ru-RU"/>
              </w:rPr>
              <w:t>Орієнтовні обсяги фінансування тис. грн</w:t>
            </w:r>
          </w:p>
        </w:tc>
      </w:tr>
      <w:tr w:rsidR="00173655" w:rsidRPr="00173655" w:rsidTr="00CE041D">
        <w:trPr>
          <w:trHeight w:val="308"/>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0402DC">
            <w:pPr>
              <w:ind w:firstLine="333"/>
              <w:rPr>
                <w:sz w:val="22"/>
                <w:szCs w:val="22"/>
                <w:lang w:eastAsia="ru-RU"/>
              </w:rPr>
            </w:pPr>
            <w:r w:rsidRPr="00173655">
              <w:rPr>
                <w:sz w:val="22"/>
                <w:szCs w:val="22"/>
                <w:lang w:eastAsia="ru-RU"/>
              </w:rPr>
              <w:t>Реалізація про</w:t>
            </w:r>
            <w:r w:rsidR="009C57C0">
              <w:rPr>
                <w:sz w:val="22"/>
                <w:szCs w:val="22"/>
                <w:lang w:eastAsia="ru-RU"/>
              </w:rPr>
              <w:t>є</w:t>
            </w:r>
            <w:r w:rsidR="000402DC">
              <w:rPr>
                <w:sz w:val="22"/>
                <w:szCs w:val="22"/>
                <w:lang w:eastAsia="ru-RU"/>
              </w:rPr>
              <w:t>к</w:t>
            </w:r>
            <w:r w:rsidRPr="00173655">
              <w:rPr>
                <w:sz w:val="22"/>
                <w:szCs w:val="22"/>
                <w:lang w:eastAsia="ru-RU"/>
              </w:rPr>
              <w:t>ту «Магістральний трамвайний маршрут прямого сполучення «Північ</w:t>
            </w:r>
            <w:r w:rsidR="000402DC">
              <w:rPr>
                <w:sz w:val="22"/>
                <w:szCs w:val="22"/>
                <w:lang w:eastAsia="ru-RU"/>
              </w:rPr>
              <w:t xml:space="preserve"> – </w:t>
            </w:r>
            <w:r w:rsidRPr="00173655">
              <w:rPr>
                <w:sz w:val="22"/>
                <w:szCs w:val="22"/>
                <w:lang w:eastAsia="ru-RU"/>
              </w:rPr>
              <w:t xml:space="preserve">Південь»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w:t>
            </w:r>
            <w:r w:rsidR="009C57C0">
              <w:rPr>
                <w:sz w:val="22"/>
                <w:szCs w:val="22"/>
                <w:lang w:eastAsia="ru-RU"/>
              </w:rPr>
              <w:t xml:space="preserve"> </w:t>
            </w:r>
            <w:r w:rsidRPr="00173655">
              <w:rPr>
                <w:sz w:val="22"/>
                <w:szCs w:val="22"/>
                <w:lang w:eastAsia="ru-RU"/>
              </w:rPr>
              <w:t>860</w:t>
            </w:r>
            <w:r w:rsidR="009C57C0">
              <w:rPr>
                <w:sz w:val="22"/>
                <w:szCs w:val="22"/>
                <w:lang w:eastAsia="ru-RU"/>
              </w:rPr>
              <w:t xml:space="preserve"> </w:t>
            </w:r>
            <w:r w:rsidRPr="00173655">
              <w:rPr>
                <w:sz w:val="22"/>
                <w:szCs w:val="22"/>
                <w:lang w:eastAsia="ru-RU"/>
              </w:rPr>
              <w:t>690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310</w:t>
            </w:r>
            <w:r w:rsidR="009C57C0">
              <w:rPr>
                <w:sz w:val="22"/>
                <w:szCs w:val="22"/>
                <w:lang w:eastAsia="ru-RU"/>
              </w:rPr>
              <w:t xml:space="preserve"> </w:t>
            </w:r>
            <w:r w:rsidRPr="00173655">
              <w:rPr>
                <w:sz w:val="22"/>
                <w:szCs w:val="22"/>
                <w:lang w:eastAsia="ru-RU"/>
              </w:rPr>
              <w:t>115</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кредитні кошти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w:t>
            </w:r>
            <w:r w:rsidR="009C57C0">
              <w:rPr>
                <w:sz w:val="22"/>
                <w:szCs w:val="22"/>
                <w:lang w:eastAsia="ru-RU"/>
              </w:rPr>
              <w:t xml:space="preserve"> </w:t>
            </w:r>
            <w:r w:rsidRPr="00173655">
              <w:rPr>
                <w:sz w:val="22"/>
                <w:szCs w:val="22"/>
                <w:lang w:eastAsia="ru-RU"/>
              </w:rPr>
              <w:t>550</w:t>
            </w:r>
            <w:r w:rsidR="009C57C0">
              <w:rPr>
                <w:sz w:val="22"/>
                <w:szCs w:val="22"/>
                <w:lang w:eastAsia="ru-RU"/>
              </w:rPr>
              <w:t xml:space="preserve"> </w:t>
            </w:r>
            <w:r w:rsidRPr="00173655">
              <w:rPr>
                <w:sz w:val="22"/>
                <w:szCs w:val="22"/>
                <w:lang w:eastAsia="ru-RU"/>
              </w:rPr>
              <w:t>575</w:t>
            </w:r>
          </w:p>
        </w:tc>
      </w:tr>
      <w:tr w:rsidR="00173655" w:rsidRPr="00173655" w:rsidTr="00CE041D">
        <w:trPr>
          <w:trHeight w:val="310"/>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 xml:space="preserve">Придбання нових трамвайних вагонів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880</w:t>
            </w:r>
            <w:r w:rsidR="009C57C0">
              <w:rPr>
                <w:sz w:val="22"/>
                <w:szCs w:val="22"/>
                <w:lang w:eastAsia="ru-RU"/>
              </w:rPr>
              <w:t xml:space="preserve"> </w:t>
            </w:r>
            <w:r w:rsidRPr="00173655">
              <w:rPr>
                <w:sz w:val="22"/>
                <w:szCs w:val="22"/>
                <w:lang w:eastAsia="ru-RU"/>
              </w:rPr>
              <w:t>800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146</w:t>
            </w:r>
            <w:r w:rsidR="009C57C0">
              <w:rPr>
                <w:sz w:val="22"/>
                <w:szCs w:val="22"/>
                <w:lang w:eastAsia="ru-RU"/>
              </w:rPr>
              <w:t xml:space="preserve"> </w:t>
            </w:r>
            <w:r w:rsidRPr="00173655">
              <w:rPr>
                <w:sz w:val="22"/>
                <w:szCs w:val="22"/>
                <w:lang w:eastAsia="ru-RU"/>
              </w:rPr>
              <w:t>800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кредитні кошти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734</w:t>
            </w:r>
            <w:r w:rsidR="009C57C0">
              <w:rPr>
                <w:sz w:val="22"/>
                <w:szCs w:val="22"/>
                <w:lang w:eastAsia="ru-RU"/>
              </w:rPr>
              <w:t xml:space="preserve"> </w:t>
            </w:r>
            <w:r w:rsidRPr="00173655">
              <w:rPr>
                <w:sz w:val="22"/>
                <w:szCs w:val="22"/>
                <w:lang w:eastAsia="ru-RU"/>
              </w:rPr>
              <w:t>000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9C57C0">
            <w:pPr>
              <w:ind w:firstLine="333"/>
              <w:rPr>
                <w:sz w:val="22"/>
                <w:szCs w:val="22"/>
                <w:lang w:eastAsia="ru-RU"/>
              </w:rPr>
            </w:pPr>
            <w:r w:rsidRPr="00173655">
              <w:rPr>
                <w:sz w:val="22"/>
                <w:szCs w:val="22"/>
                <w:lang w:eastAsia="ru-RU"/>
              </w:rPr>
              <w:t>Розробка про</w:t>
            </w:r>
            <w:r w:rsidR="009C57C0">
              <w:rPr>
                <w:sz w:val="22"/>
                <w:szCs w:val="22"/>
                <w:lang w:eastAsia="ru-RU"/>
              </w:rPr>
              <w:t>є</w:t>
            </w:r>
            <w:r w:rsidRPr="00173655">
              <w:rPr>
                <w:sz w:val="22"/>
                <w:szCs w:val="22"/>
                <w:lang w:eastAsia="ru-RU"/>
              </w:rPr>
              <w:t xml:space="preserve">кту та проведення робіт </w:t>
            </w:r>
            <w:r w:rsidR="009C57C0">
              <w:rPr>
                <w:sz w:val="22"/>
                <w:szCs w:val="22"/>
                <w:lang w:eastAsia="ru-RU"/>
              </w:rPr>
              <w:t>із</w:t>
            </w:r>
            <w:r w:rsidR="009C57C0" w:rsidRPr="00173655">
              <w:rPr>
                <w:sz w:val="22"/>
                <w:szCs w:val="22"/>
                <w:lang w:eastAsia="ru-RU"/>
              </w:rPr>
              <w:t xml:space="preserve">  </w:t>
            </w:r>
            <w:r w:rsidRPr="00173655">
              <w:rPr>
                <w:sz w:val="22"/>
                <w:szCs w:val="22"/>
                <w:lang w:eastAsia="ru-RU"/>
              </w:rPr>
              <w:t>реконструкції трамвайної інфраструктури</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979</w:t>
            </w:r>
            <w:r w:rsidR="009C57C0">
              <w:rPr>
                <w:sz w:val="22"/>
                <w:szCs w:val="22"/>
                <w:lang w:eastAsia="ru-RU"/>
              </w:rPr>
              <w:t xml:space="preserve"> </w:t>
            </w:r>
            <w:r w:rsidRPr="00173655">
              <w:rPr>
                <w:sz w:val="22"/>
                <w:szCs w:val="22"/>
                <w:lang w:eastAsia="ru-RU"/>
              </w:rPr>
              <w:t>890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163</w:t>
            </w:r>
            <w:r w:rsidR="009C57C0">
              <w:rPr>
                <w:sz w:val="22"/>
                <w:szCs w:val="22"/>
                <w:lang w:eastAsia="ru-RU"/>
              </w:rPr>
              <w:t xml:space="preserve"> </w:t>
            </w:r>
            <w:r w:rsidRPr="00173655">
              <w:rPr>
                <w:sz w:val="22"/>
                <w:szCs w:val="22"/>
                <w:lang w:eastAsia="ru-RU"/>
              </w:rPr>
              <w:t>315</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кредитні кошти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816</w:t>
            </w:r>
            <w:r w:rsidR="009C57C0">
              <w:rPr>
                <w:sz w:val="22"/>
                <w:szCs w:val="22"/>
                <w:lang w:eastAsia="ru-RU"/>
              </w:rPr>
              <w:t xml:space="preserve"> </w:t>
            </w:r>
            <w:r w:rsidRPr="00173655">
              <w:rPr>
                <w:sz w:val="22"/>
                <w:szCs w:val="22"/>
                <w:lang w:eastAsia="ru-RU"/>
              </w:rPr>
              <w:t>575</w:t>
            </w:r>
          </w:p>
        </w:tc>
      </w:tr>
      <w:tr w:rsidR="00173655" w:rsidRPr="00173655" w:rsidTr="00CE041D">
        <w:trPr>
          <w:trHeight w:val="376"/>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9C57C0">
            <w:pPr>
              <w:ind w:firstLine="333"/>
              <w:rPr>
                <w:sz w:val="22"/>
                <w:szCs w:val="22"/>
                <w:lang w:eastAsia="ru-RU"/>
              </w:rPr>
            </w:pPr>
            <w:r w:rsidRPr="00173655">
              <w:rPr>
                <w:sz w:val="22"/>
                <w:szCs w:val="22"/>
                <w:lang w:eastAsia="ru-RU"/>
              </w:rPr>
              <w:t xml:space="preserve">Придбання електробусів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рамках реалізації підпро</w:t>
            </w:r>
            <w:r w:rsidR="009C57C0">
              <w:rPr>
                <w:sz w:val="22"/>
                <w:szCs w:val="22"/>
                <w:lang w:eastAsia="ru-RU"/>
              </w:rPr>
              <w:t>є</w:t>
            </w:r>
            <w:r w:rsidRPr="00173655">
              <w:rPr>
                <w:sz w:val="22"/>
                <w:szCs w:val="22"/>
                <w:lang w:eastAsia="ru-RU"/>
              </w:rPr>
              <w:t xml:space="preserve">кту «Міський громадський транспорт України ІІ»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572</w:t>
            </w:r>
            <w:r w:rsidR="009C57C0">
              <w:rPr>
                <w:sz w:val="22"/>
                <w:szCs w:val="22"/>
                <w:lang w:eastAsia="ru-RU"/>
              </w:rPr>
              <w:t xml:space="preserve"> </w:t>
            </w:r>
            <w:r w:rsidRPr="00173655">
              <w:rPr>
                <w:sz w:val="22"/>
                <w:szCs w:val="22"/>
                <w:lang w:eastAsia="ru-RU"/>
              </w:rPr>
              <w:t>520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95</w:t>
            </w:r>
            <w:r w:rsidR="009C57C0">
              <w:rPr>
                <w:sz w:val="22"/>
                <w:szCs w:val="22"/>
                <w:lang w:eastAsia="ru-RU"/>
              </w:rPr>
              <w:t xml:space="preserve"> </w:t>
            </w:r>
            <w:r w:rsidRPr="00173655">
              <w:rPr>
                <w:sz w:val="22"/>
                <w:szCs w:val="22"/>
                <w:lang w:eastAsia="ru-RU"/>
              </w:rPr>
              <w:t>420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кредитні кошти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477</w:t>
            </w:r>
            <w:r w:rsidR="009C57C0">
              <w:rPr>
                <w:sz w:val="22"/>
                <w:szCs w:val="22"/>
                <w:lang w:eastAsia="ru-RU"/>
              </w:rPr>
              <w:t xml:space="preserve"> </w:t>
            </w:r>
            <w:r w:rsidRPr="00173655">
              <w:rPr>
                <w:sz w:val="22"/>
                <w:szCs w:val="22"/>
                <w:lang w:eastAsia="ru-RU"/>
              </w:rPr>
              <w:t>100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 xml:space="preserve">Придбання електробусів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146</w:t>
            </w:r>
            <w:r w:rsidR="009C57C0">
              <w:rPr>
                <w:sz w:val="22"/>
                <w:szCs w:val="22"/>
                <w:lang w:eastAsia="ru-RU"/>
              </w:rPr>
              <w:t xml:space="preserve"> </w:t>
            </w:r>
            <w:r w:rsidRPr="00173655">
              <w:rPr>
                <w:sz w:val="22"/>
                <w:szCs w:val="22"/>
                <w:lang w:eastAsia="ru-RU"/>
              </w:rPr>
              <w:t>800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146</w:t>
            </w:r>
            <w:r w:rsidR="009C57C0">
              <w:rPr>
                <w:sz w:val="22"/>
                <w:szCs w:val="22"/>
                <w:lang w:eastAsia="ru-RU"/>
              </w:rPr>
              <w:t xml:space="preserve"> </w:t>
            </w:r>
            <w:r w:rsidRPr="00173655">
              <w:rPr>
                <w:sz w:val="22"/>
                <w:szCs w:val="22"/>
                <w:lang w:eastAsia="ru-RU"/>
              </w:rPr>
              <w:t>800</w:t>
            </w:r>
          </w:p>
        </w:tc>
      </w:tr>
      <w:tr w:rsidR="00173655" w:rsidRPr="00173655" w:rsidTr="00CE041D">
        <w:trPr>
          <w:trHeight w:val="339"/>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тролейбусів з автономним ходом від акумуляторних батарей</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60</w:t>
            </w:r>
            <w:r w:rsidR="009C57C0">
              <w:rPr>
                <w:sz w:val="22"/>
                <w:szCs w:val="22"/>
                <w:lang w:eastAsia="ru-RU"/>
              </w:rPr>
              <w:t xml:space="preserve"> </w:t>
            </w:r>
            <w:r w:rsidRPr="00173655">
              <w:rPr>
                <w:sz w:val="22"/>
                <w:szCs w:val="22"/>
                <w:lang w:eastAsia="ru-RU"/>
              </w:rPr>
              <w:t>555</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60</w:t>
            </w:r>
            <w:r w:rsidR="009C57C0">
              <w:rPr>
                <w:sz w:val="22"/>
                <w:szCs w:val="22"/>
                <w:lang w:eastAsia="ru-RU"/>
              </w:rPr>
              <w:t xml:space="preserve"> </w:t>
            </w:r>
            <w:r w:rsidRPr="00173655">
              <w:rPr>
                <w:sz w:val="22"/>
                <w:szCs w:val="22"/>
                <w:lang w:eastAsia="ru-RU"/>
              </w:rPr>
              <w:t>555</w:t>
            </w:r>
          </w:p>
        </w:tc>
      </w:tr>
      <w:tr w:rsidR="00173655" w:rsidRPr="00173655" w:rsidTr="00CE041D">
        <w:trPr>
          <w:trHeight w:val="290"/>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багатосекційних зчленованих тролейбусів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125</w:t>
            </w:r>
            <w:r w:rsidR="009C57C0">
              <w:rPr>
                <w:sz w:val="22"/>
                <w:szCs w:val="22"/>
                <w:lang w:eastAsia="ru-RU"/>
              </w:rPr>
              <w:t xml:space="preserve"> </w:t>
            </w:r>
            <w:r w:rsidRPr="00173655">
              <w:rPr>
                <w:sz w:val="22"/>
                <w:szCs w:val="22"/>
                <w:lang w:eastAsia="ru-RU"/>
              </w:rPr>
              <w:t>000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125</w:t>
            </w:r>
            <w:r w:rsidR="009C57C0">
              <w:rPr>
                <w:sz w:val="22"/>
                <w:szCs w:val="22"/>
                <w:lang w:eastAsia="ru-RU"/>
              </w:rPr>
              <w:t xml:space="preserve"> </w:t>
            </w:r>
            <w:r w:rsidRPr="00173655">
              <w:rPr>
                <w:sz w:val="22"/>
                <w:szCs w:val="22"/>
                <w:lang w:eastAsia="ru-RU"/>
              </w:rPr>
              <w:t>000</w:t>
            </w:r>
          </w:p>
        </w:tc>
      </w:tr>
      <w:tr w:rsidR="00173655" w:rsidRPr="00173655" w:rsidTr="00CE041D">
        <w:trPr>
          <w:trHeight w:val="709"/>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9C57C0">
            <w:pPr>
              <w:ind w:firstLine="333"/>
              <w:rPr>
                <w:sz w:val="22"/>
                <w:szCs w:val="22"/>
                <w:lang w:eastAsia="ru-RU"/>
              </w:rPr>
            </w:pPr>
            <w:r w:rsidRPr="00173655">
              <w:rPr>
                <w:sz w:val="22"/>
                <w:szCs w:val="22"/>
                <w:lang w:eastAsia="ru-RU"/>
              </w:rPr>
              <w:t>Придбання спецавтотранспорту: навантажувача 1-3</w:t>
            </w:r>
            <w:r w:rsidR="009C57C0">
              <w:rPr>
                <w:sz w:val="22"/>
                <w:szCs w:val="22"/>
                <w:lang w:eastAsia="ru-RU"/>
              </w:rPr>
              <w:t> </w:t>
            </w:r>
            <w:r w:rsidRPr="00173655">
              <w:rPr>
                <w:sz w:val="22"/>
                <w:szCs w:val="22"/>
                <w:lang w:eastAsia="ru-RU"/>
              </w:rPr>
              <w:t xml:space="preserve">т – 3 од.;  екскаватора- навантажувача з навісним обладнанням </w:t>
            </w:r>
            <w:r w:rsidR="009C57C0" w:rsidRPr="00173655">
              <w:rPr>
                <w:sz w:val="22"/>
                <w:szCs w:val="22"/>
                <w:lang w:eastAsia="ru-RU"/>
              </w:rPr>
              <w:t>–</w:t>
            </w:r>
            <w:r w:rsidRPr="00173655">
              <w:rPr>
                <w:sz w:val="22"/>
                <w:szCs w:val="22"/>
                <w:lang w:eastAsia="ru-RU"/>
              </w:rPr>
              <w:t xml:space="preserve"> 1 од.; сідельного тягача </w:t>
            </w:r>
            <w:r w:rsidR="009C57C0" w:rsidRPr="00173655">
              <w:rPr>
                <w:sz w:val="22"/>
                <w:szCs w:val="22"/>
                <w:lang w:eastAsia="ru-RU"/>
              </w:rPr>
              <w:t>–</w:t>
            </w:r>
            <w:r w:rsidRPr="00173655">
              <w:rPr>
                <w:sz w:val="22"/>
                <w:szCs w:val="22"/>
                <w:lang w:eastAsia="ru-RU"/>
              </w:rPr>
              <w:t xml:space="preserve"> 1</w:t>
            </w:r>
            <w:r w:rsidR="000402DC">
              <w:rPr>
                <w:sz w:val="22"/>
                <w:szCs w:val="22"/>
                <w:lang w:eastAsia="ru-RU"/>
              </w:rPr>
              <w:t xml:space="preserve"> </w:t>
            </w:r>
            <w:r w:rsidRPr="00173655">
              <w:rPr>
                <w:sz w:val="22"/>
                <w:szCs w:val="22"/>
                <w:lang w:eastAsia="ru-RU"/>
              </w:rPr>
              <w:t xml:space="preserve">од.;  </w:t>
            </w:r>
            <w:r w:rsidR="009C57C0" w:rsidRPr="00173655">
              <w:rPr>
                <w:sz w:val="22"/>
                <w:szCs w:val="22"/>
                <w:lang w:eastAsia="ru-RU"/>
              </w:rPr>
              <w:t>напівпри</w:t>
            </w:r>
            <w:r w:rsidR="009C57C0">
              <w:rPr>
                <w:sz w:val="22"/>
                <w:szCs w:val="22"/>
                <w:lang w:eastAsia="ru-RU"/>
              </w:rPr>
              <w:t>ч</w:t>
            </w:r>
            <w:r w:rsidR="009C57C0" w:rsidRPr="00173655">
              <w:rPr>
                <w:sz w:val="22"/>
                <w:szCs w:val="22"/>
                <w:lang w:eastAsia="ru-RU"/>
              </w:rPr>
              <w:t>еп</w:t>
            </w:r>
            <w:r w:rsidR="009C57C0">
              <w:rPr>
                <w:sz w:val="22"/>
                <w:szCs w:val="22"/>
                <w:lang w:eastAsia="ru-RU"/>
              </w:rPr>
              <w:t>а</w:t>
            </w:r>
            <w:r w:rsidR="009C57C0" w:rsidRPr="00173655">
              <w:rPr>
                <w:sz w:val="22"/>
                <w:szCs w:val="22"/>
                <w:lang w:eastAsia="ru-RU"/>
              </w:rPr>
              <w:t xml:space="preserve"> </w:t>
            </w:r>
            <w:r w:rsidRPr="00173655">
              <w:rPr>
                <w:sz w:val="22"/>
                <w:szCs w:val="22"/>
                <w:lang w:eastAsia="ru-RU"/>
              </w:rPr>
              <w:t>12</w:t>
            </w:r>
            <w:r w:rsidR="009C57C0">
              <w:rPr>
                <w:sz w:val="22"/>
                <w:szCs w:val="22"/>
                <w:lang w:eastAsia="ru-RU"/>
              </w:rPr>
              <w:t> </w:t>
            </w:r>
            <w:r w:rsidRPr="00173655">
              <w:rPr>
                <w:sz w:val="22"/>
                <w:szCs w:val="22"/>
                <w:lang w:eastAsia="ru-RU"/>
              </w:rPr>
              <w:t xml:space="preserve">м – </w:t>
            </w:r>
            <w:r w:rsidR="009C57C0">
              <w:rPr>
                <w:sz w:val="22"/>
                <w:szCs w:val="22"/>
                <w:lang w:eastAsia="ru-RU"/>
              </w:rPr>
              <w:t xml:space="preserve">          </w:t>
            </w:r>
            <w:r w:rsidR="009C57C0" w:rsidRPr="00173655">
              <w:rPr>
                <w:sz w:val="22"/>
                <w:szCs w:val="22"/>
                <w:lang w:eastAsia="ru-RU"/>
              </w:rPr>
              <w:t>1</w:t>
            </w:r>
            <w:r w:rsidR="009C57C0">
              <w:rPr>
                <w:sz w:val="22"/>
                <w:szCs w:val="22"/>
                <w:lang w:eastAsia="ru-RU"/>
              </w:rPr>
              <w:t> </w:t>
            </w:r>
            <w:r w:rsidRPr="00173655">
              <w:rPr>
                <w:sz w:val="22"/>
                <w:szCs w:val="22"/>
                <w:lang w:eastAsia="ru-RU"/>
              </w:rPr>
              <w:t>од.; аварійн</w:t>
            </w:r>
            <w:r w:rsidR="009C57C0">
              <w:rPr>
                <w:sz w:val="22"/>
                <w:szCs w:val="22"/>
                <w:lang w:eastAsia="ru-RU"/>
              </w:rPr>
              <w:t>ої</w:t>
            </w:r>
            <w:r w:rsidRPr="00173655">
              <w:rPr>
                <w:sz w:val="22"/>
                <w:szCs w:val="22"/>
                <w:lang w:eastAsia="ru-RU"/>
              </w:rPr>
              <w:t xml:space="preserve"> машин</w:t>
            </w:r>
            <w:r w:rsidR="009C57C0">
              <w:rPr>
                <w:sz w:val="22"/>
                <w:szCs w:val="22"/>
                <w:lang w:eastAsia="ru-RU"/>
              </w:rPr>
              <w:t>и</w:t>
            </w:r>
            <w:r w:rsidRPr="00173655">
              <w:rPr>
                <w:sz w:val="22"/>
                <w:szCs w:val="22"/>
                <w:lang w:eastAsia="ru-RU"/>
              </w:rPr>
              <w:t xml:space="preserve"> для ремонту контактної мережі АТ-70М-041 </w:t>
            </w:r>
            <w:r w:rsidR="009C57C0" w:rsidRPr="00173655">
              <w:rPr>
                <w:sz w:val="22"/>
                <w:szCs w:val="22"/>
                <w:lang w:eastAsia="ru-RU"/>
              </w:rPr>
              <w:t>–</w:t>
            </w:r>
            <w:r w:rsidRPr="00173655">
              <w:rPr>
                <w:sz w:val="22"/>
                <w:szCs w:val="22"/>
                <w:lang w:eastAsia="ru-RU"/>
              </w:rPr>
              <w:t xml:space="preserve"> 1 од.;  автогідропідйомник</w:t>
            </w:r>
            <w:r w:rsidR="009C57C0">
              <w:rPr>
                <w:sz w:val="22"/>
                <w:szCs w:val="22"/>
                <w:lang w:eastAsia="ru-RU"/>
              </w:rPr>
              <w:t>а</w:t>
            </w:r>
            <w:r w:rsidRPr="00173655">
              <w:rPr>
                <w:sz w:val="22"/>
                <w:szCs w:val="22"/>
                <w:lang w:eastAsia="ru-RU"/>
              </w:rPr>
              <w:t xml:space="preserve"> АГП-18 для проведення ремонтних робіт на контактній мережі з кабіною для перевезення персоналу</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11</w:t>
            </w:r>
            <w:r w:rsidR="009C57C0">
              <w:rPr>
                <w:sz w:val="22"/>
                <w:szCs w:val="22"/>
                <w:lang w:eastAsia="ru-RU"/>
              </w:rPr>
              <w:t xml:space="preserve"> </w:t>
            </w:r>
            <w:r w:rsidRPr="00173655">
              <w:rPr>
                <w:sz w:val="22"/>
                <w:szCs w:val="22"/>
                <w:lang w:eastAsia="ru-RU"/>
              </w:rPr>
              <w:t>520,5</w:t>
            </w:r>
          </w:p>
        </w:tc>
      </w:tr>
      <w:tr w:rsidR="00173655" w:rsidRPr="00173655" w:rsidTr="00CE041D">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9C57C0">
              <w:rPr>
                <w:sz w:val="22"/>
                <w:szCs w:val="22"/>
                <w:lang w:eastAsia="ru-RU"/>
              </w:rPr>
              <w:t xml:space="preserve"> </w:t>
            </w:r>
            <w:r w:rsidRPr="00173655">
              <w:rPr>
                <w:sz w:val="22"/>
                <w:szCs w:val="22"/>
                <w:lang w:eastAsia="ru-RU"/>
              </w:rPr>
              <w:t>200</w:t>
            </w:r>
          </w:p>
        </w:tc>
      </w:tr>
      <w:tr w:rsidR="00173655" w:rsidRPr="00173655" w:rsidTr="00CE041D">
        <w:trPr>
          <w:trHeight w:val="9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w:t>
            </w:r>
            <w:r w:rsidR="009C57C0">
              <w:rPr>
                <w:sz w:val="22"/>
                <w:szCs w:val="22"/>
                <w:lang w:eastAsia="ru-RU"/>
              </w:rPr>
              <w:t xml:space="preserve"> </w:t>
            </w:r>
            <w:r w:rsidRPr="00173655">
              <w:rPr>
                <w:sz w:val="22"/>
                <w:szCs w:val="22"/>
                <w:lang w:eastAsia="ru-RU"/>
              </w:rPr>
              <w:t>320,5</w:t>
            </w:r>
          </w:p>
        </w:tc>
      </w:tr>
      <w:tr w:rsidR="00173655" w:rsidRPr="00173655" w:rsidTr="00CE041D">
        <w:trPr>
          <w:trHeight w:val="29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та монтаж механізованої мийки тролейбусів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2</w:t>
            </w:r>
            <w:r w:rsidR="009C57C0">
              <w:rPr>
                <w:sz w:val="22"/>
                <w:szCs w:val="22"/>
                <w:lang w:eastAsia="ru-RU"/>
              </w:rPr>
              <w:t xml:space="preserve"> </w:t>
            </w:r>
            <w:r w:rsidRPr="00173655">
              <w:rPr>
                <w:sz w:val="22"/>
                <w:szCs w:val="22"/>
                <w:lang w:eastAsia="ru-RU"/>
              </w:rPr>
              <w:t>569</w:t>
            </w:r>
          </w:p>
        </w:tc>
      </w:tr>
      <w:tr w:rsidR="00173655" w:rsidRPr="00173655" w:rsidTr="00B16A64">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2</w:t>
            </w:r>
            <w:r w:rsidR="009C57C0">
              <w:rPr>
                <w:sz w:val="22"/>
                <w:szCs w:val="22"/>
                <w:lang w:eastAsia="ru-RU"/>
              </w:rPr>
              <w:t xml:space="preserve"> </w:t>
            </w:r>
            <w:r w:rsidRPr="00173655">
              <w:rPr>
                <w:sz w:val="22"/>
                <w:szCs w:val="22"/>
                <w:lang w:eastAsia="ru-RU"/>
              </w:rPr>
              <w:t>569</w:t>
            </w:r>
          </w:p>
        </w:tc>
      </w:tr>
      <w:tr w:rsidR="00173655" w:rsidRPr="00173655" w:rsidTr="00B16A64">
        <w:trPr>
          <w:trHeight w:val="178"/>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B16A64">
            <w:pPr>
              <w:ind w:firstLine="333"/>
              <w:rPr>
                <w:sz w:val="22"/>
                <w:szCs w:val="22"/>
                <w:lang w:eastAsia="ru-RU"/>
              </w:rPr>
            </w:pPr>
            <w:r w:rsidRPr="00173655">
              <w:rPr>
                <w:sz w:val="22"/>
                <w:szCs w:val="22"/>
                <w:lang w:eastAsia="ru-RU"/>
              </w:rPr>
              <w:t>Придбання та монтаж механізованої мийки трамваїв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9C57C0">
              <w:rPr>
                <w:sz w:val="22"/>
                <w:szCs w:val="22"/>
                <w:lang w:eastAsia="ru-RU"/>
              </w:rPr>
              <w:t xml:space="preserve"> </w:t>
            </w:r>
            <w:r w:rsidRPr="00173655">
              <w:rPr>
                <w:sz w:val="22"/>
                <w:szCs w:val="22"/>
                <w:lang w:eastAsia="ru-RU"/>
              </w:rPr>
              <w:t>138</w:t>
            </w:r>
          </w:p>
        </w:tc>
      </w:tr>
      <w:tr w:rsidR="00173655" w:rsidRPr="00173655" w:rsidTr="00CE041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B16A64">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9C57C0">
              <w:rPr>
                <w:sz w:val="22"/>
                <w:szCs w:val="22"/>
                <w:lang w:eastAsia="ru-RU"/>
              </w:rPr>
              <w:t xml:space="preserve"> </w:t>
            </w:r>
            <w:r w:rsidRPr="00173655">
              <w:rPr>
                <w:sz w:val="22"/>
                <w:szCs w:val="22"/>
                <w:lang w:eastAsia="ru-RU"/>
              </w:rPr>
              <w:t>138</w:t>
            </w:r>
          </w:p>
        </w:tc>
      </w:tr>
      <w:tr w:rsidR="00173655" w:rsidRPr="00173655" w:rsidTr="00CE041D">
        <w:trPr>
          <w:trHeight w:val="410"/>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06440E">
            <w:pPr>
              <w:ind w:firstLine="333"/>
              <w:rPr>
                <w:sz w:val="22"/>
                <w:szCs w:val="22"/>
                <w:lang w:eastAsia="ru-RU"/>
              </w:rPr>
            </w:pPr>
            <w:r w:rsidRPr="00173655">
              <w:rPr>
                <w:sz w:val="22"/>
                <w:szCs w:val="22"/>
                <w:lang w:eastAsia="ru-RU"/>
              </w:rPr>
              <w:t xml:space="preserve">Придбання технологічного обладнання: </w:t>
            </w:r>
            <w:r w:rsidRPr="00173655">
              <w:rPr>
                <w:sz w:val="22"/>
                <w:szCs w:val="22"/>
                <w:lang w:eastAsia="ru-RU"/>
              </w:rPr>
              <w:lastRenderedPageBreak/>
              <w:t xml:space="preserve">верстат токарний (ДІП-300) або аналог (1 од.); верстат токарний (ДІП-500) або аналог (2 од.); мобільні електромеханічні колонні підйомники (з 4-х колон по 5,5 т) </w:t>
            </w:r>
            <w:r w:rsidR="0006440E">
              <w:rPr>
                <w:sz w:val="22"/>
                <w:szCs w:val="22"/>
                <w:lang w:eastAsia="ru-RU"/>
              </w:rPr>
              <w:t>–</w:t>
            </w:r>
            <w:r w:rsidRPr="00173655">
              <w:rPr>
                <w:sz w:val="22"/>
                <w:szCs w:val="22"/>
                <w:lang w:eastAsia="ru-RU"/>
              </w:rPr>
              <w:t xml:space="preserve"> 5 комплектів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9C57C0">
            <w:pPr>
              <w:rPr>
                <w:sz w:val="22"/>
                <w:szCs w:val="22"/>
                <w:lang w:eastAsia="ru-RU"/>
              </w:rPr>
            </w:pPr>
            <w:r w:rsidRPr="00173655">
              <w:rPr>
                <w:sz w:val="22"/>
                <w:szCs w:val="22"/>
                <w:lang w:eastAsia="ru-RU"/>
              </w:rPr>
              <w:lastRenderedPageBreak/>
              <w:t xml:space="preserve">Усього, </w:t>
            </w:r>
            <w:r w:rsidR="009C57C0">
              <w:rPr>
                <w:sz w:val="22"/>
                <w:szCs w:val="22"/>
                <w:lang w:eastAsia="ru-RU"/>
              </w:rPr>
              <w:t>у</w:t>
            </w:r>
            <w:r w:rsidR="009C57C0" w:rsidRPr="00173655">
              <w:rPr>
                <w:sz w:val="22"/>
                <w:szCs w:val="22"/>
                <w:lang w:eastAsia="ru-RU"/>
              </w:rPr>
              <w:t xml:space="preserve"> </w:t>
            </w:r>
            <w:r w:rsidRPr="00173655">
              <w:rPr>
                <w:sz w:val="22"/>
                <w:szCs w:val="22"/>
                <w:lang w:eastAsia="ru-RU"/>
              </w:rPr>
              <w:t>т.</w:t>
            </w:r>
            <w:r w:rsidR="009C57C0">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9C57C0">
              <w:rPr>
                <w:sz w:val="22"/>
                <w:szCs w:val="22"/>
                <w:lang w:eastAsia="ru-RU"/>
              </w:rPr>
              <w:t xml:space="preserve"> </w:t>
            </w:r>
            <w:r w:rsidRPr="00173655">
              <w:rPr>
                <w:sz w:val="22"/>
                <w:szCs w:val="22"/>
                <w:lang w:eastAsia="ru-RU"/>
              </w:rPr>
              <w:t>550</w:t>
            </w:r>
          </w:p>
        </w:tc>
      </w:tr>
      <w:tr w:rsidR="00173655" w:rsidRPr="00173655" w:rsidTr="00CE041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554703">
              <w:rPr>
                <w:sz w:val="22"/>
                <w:szCs w:val="22"/>
                <w:lang w:eastAsia="ru-RU"/>
              </w:rPr>
              <w:t xml:space="preserve"> </w:t>
            </w:r>
            <w:r w:rsidRPr="00173655">
              <w:rPr>
                <w:sz w:val="22"/>
                <w:szCs w:val="22"/>
                <w:lang w:eastAsia="ru-RU"/>
              </w:rPr>
              <w:t>550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554703">
            <w:pPr>
              <w:ind w:firstLine="333"/>
              <w:rPr>
                <w:sz w:val="22"/>
                <w:szCs w:val="22"/>
                <w:lang w:eastAsia="ru-RU"/>
              </w:rPr>
            </w:pPr>
            <w:r w:rsidRPr="00173655">
              <w:rPr>
                <w:sz w:val="22"/>
                <w:szCs w:val="22"/>
                <w:lang w:eastAsia="ru-RU"/>
              </w:rPr>
              <w:t xml:space="preserve">Капітальний ремонт трамвайних вагонів </w:t>
            </w:r>
            <w:r w:rsidR="00845816">
              <w:rPr>
                <w:sz w:val="22"/>
                <w:szCs w:val="22"/>
                <w:lang w:eastAsia="ru-RU"/>
              </w:rPr>
              <w:t>і</w:t>
            </w:r>
            <w:r w:rsidRPr="00173655">
              <w:rPr>
                <w:sz w:val="22"/>
                <w:szCs w:val="22"/>
                <w:lang w:eastAsia="ru-RU"/>
              </w:rPr>
              <w:t xml:space="preserve">з переобладнанням їх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частково низькопідлогові</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695</w:t>
            </w:r>
            <w:r w:rsidR="00554703">
              <w:rPr>
                <w:sz w:val="22"/>
                <w:szCs w:val="22"/>
                <w:lang w:eastAsia="ru-RU"/>
              </w:rPr>
              <w:t xml:space="preserve"> </w:t>
            </w:r>
            <w:r w:rsidRPr="00173655">
              <w:rPr>
                <w:sz w:val="22"/>
                <w:szCs w:val="22"/>
                <w:lang w:eastAsia="ru-RU"/>
              </w:rPr>
              <w:t>342</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603</w:t>
            </w:r>
            <w:r w:rsidR="00554703">
              <w:rPr>
                <w:sz w:val="22"/>
                <w:szCs w:val="22"/>
                <w:lang w:eastAsia="ru-RU"/>
              </w:rPr>
              <w:t xml:space="preserve"> </w:t>
            </w:r>
            <w:r w:rsidRPr="00173655">
              <w:rPr>
                <w:sz w:val="22"/>
                <w:szCs w:val="22"/>
                <w:lang w:eastAsia="ru-RU"/>
              </w:rPr>
              <w:t>572,4</w:t>
            </w:r>
          </w:p>
        </w:tc>
      </w:tr>
      <w:tr w:rsidR="00173655" w:rsidRPr="00173655" w:rsidTr="00CE041D">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91</w:t>
            </w:r>
            <w:r w:rsidR="00554703">
              <w:rPr>
                <w:sz w:val="22"/>
                <w:szCs w:val="22"/>
                <w:lang w:eastAsia="ru-RU"/>
              </w:rPr>
              <w:t xml:space="preserve"> </w:t>
            </w:r>
            <w:r w:rsidRPr="00173655">
              <w:rPr>
                <w:sz w:val="22"/>
                <w:szCs w:val="22"/>
                <w:lang w:eastAsia="ru-RU"/>
              </w:rPr>
              <w:t>769,6</w:t>
            </w:r>
          </w:p>
        </w:tc>
      </w:tr>
      <w:tr w:rsidR="00173655" w:rsidRPr="00173655" w:rsidTr="00CE041D">
        <w:trPr>
          <w:trHeight w:val="1024"/>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845816">
            <w:pPr>
              <w:ind w:firstLine="333"/>
              <w:rPr>
                <w:sz w:val="22"/>
                <w:szCs w:val="22"/>
                <w:lang w:eastAsia="ru-RU"/>
              </w:rPr>
            </w:pPr>
            <w:r w:rsidRPr="00173655">
              <w:rPr>
                <w:sz w:val="22"/>
                <w:szCs w:val="22"/>
                <w:lang w:eastAsia="ru-RU"/>
              </w:rPr>
              <w:t xml:space="preserve">Придбання кузовів трамвайних вагонів часткової комплектації із частково низьким рівнем підлоги та електронних транзисторно-   імпульсних систем управління тяговим електроприводом трамвайних вагонів, що підлягають встановленню </w:t>
            </w:r>
            <w:r w:rsidR="00845816">
              <w:rPr>
                <w:sz w:val="22"/>
                <w:szCs w:val="22"/>
                <w:lang w:eastAsia="ru-RU"/>
              </w:rPr>
              <w:t>під час</w:t>
            </w:r>
            <w:r w:rsidR="00845816" w:rsidRPr="00173655">
              <w:rPr>
                <w:sz w:val="22"/>
                <w:szCs w:val="22"/>
                <w:lang w:eastAsia="ru-RU"/>
              </w:rPr>
              <w:t xml:space="preserve"> </w:t>
            </w:r>
            <w:r w:rsidRPr="00173655">
              <w:rPr>
                <w:sz w:val="22"/>
                <w:szCs w:val="22"/>
                <w:lang w:eastAsia="ru-RU"/>
              </w:rPr>
              <w:t>проведенн</w:t>
            </w:r>
            <w:r w:rsidR="00845816">
              <w:rPr>
                <w:sz w:val="22"/>
                <w:szCs w:val="22"/>
                <w:lang w:eastAsia="ru-RU"/>
              </w:rPr>
              <w:t>я</w:t>
            </w:r>
            <w:r w:rsidRPr="00173655">
              <w:rPr>
                <w:sz w:val="22"/>
                <w:szCs w:val="22"/>
                <w:lang w:eastAsia="ru-RU"/>
              </w:rPr>
              <w:t xml:space="preserve"> капітального ремонту з переобладнанням трамвайних вагонів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477</w:t>
            </w:r>
            <w:r w:rsidR="00554703">
              <w:rPr>
                <w:sz w:val="22"/>
                <w:szCs w:val="22"/>
                <w:lang w:eastAsia="ru-RU"/>
              </w:rPr>
              <w:t xml:space="preserve"> </w:t>
            </w:r>
            <w:r w:rsidRPr="00173655">
              <w:rPr>
                <w:sz w:val="22"/>
                <w:szCs w:val="22"/>
                <w:lang w:eastAsia="ru-RU"/>
              </w:rPr>
              <w:t>895,2</w:t>
            </w:r>
          </w:p>
        </w:tc>
      </w:tr>
      <w:tr w:rsidR="00173655" w:rsidRPr="00173655" w:rsidTr="00CE041D">
        <w:trPr>
          <w:trHeight w:val="5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477</w:t>
            </w:r>
            <w:r w:rsidR="00554703">
              <w:rPr>
                <w:sz w:val="22"/>
                <w:szCs w:val="22"/>
                <w:lang w:eastAsia="ru-RU"/>
              </w:rPr>
              <w:t xml:space="preserve"> </w:t>
            </w:r>
            <w:r w:rsidRPr="00173655">
              <w:rPr>
                <w:sz w:val="22"/>
                <w:szCs w:val="22"/>
                <w:lang w:eastAsia="ru-RU"/>
              </w:rPr>
              <w:t>895,2</w:t>
            </w:r>
          </w:p>
        </w:tc>
      </w:tr>
      <w:tr w:rsidR="00173655" w:rsidRPr="00173655" w:rsidTr="00CE041D">
        <w:trPr>
          <w:trHeight w:val="827"/>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554703">
            <w:pPr>
              <w:ind w:firstLine="333"/>
              <w:rPr>
                <w:sz w:val="22"/>
                <w:szCs w:val="22"/>
                <w:lang w:eastAsia="ru-RU"/>
              </w:rPr>
            </w:pPr>
            <w:r w:rsidRPr="00173655">
              <w:rPr>
                <w:sz w:val="22"/>
                <w:szCs w:val="22"/>
                <w:lang w:eastAsia="ru-RU"/>
              </w:rPr>
              <w:t>Придбання комплектів обшивки та елементів для облаштування екстер</w:t>
            </w:r>
            <w:r w:rsidR="00554703">
              <w:rPr>
                <w:sz w:val="22"/>
                <w:szCs w:val="22"/>
                <w:lang w:eastAsia="ru-RU"/>
              </w:rPr>
              <w:t>’</w:t>
            </w:r>
            <w:r w:rsidRPr="00173655">
              <w:rPr>
                <w:sz w:val="22"/>
                <w:szCs w:val="22"/>
                <w:lang w:eastAsia="ru-RU"/>
              </w:rPr>
              <w:t>єру та інтер</w:t>
            </w:r>
            <w:r w:rsidR="00554703">
              <w:rPr>
                <w:sz w:val="22"/>
                <w:szCs w:val="22"/>
                <w:lang w:eastAsia="ru-RU"/>
              </w:rPr>
              <w:t>’</w:t>
            </w:r>
            <w:r w:rsidRPr="00173655">
              <w:rPr>
                <w:sz w:val="22"/>
                <w:szCs w:val="22"/>
                <w:lang w:eastAsia="ru-RU"/>
              </w:rPr>
              <w:t>єру салону та кабіни трамва</w:t>
            </w:r>
            <w:r w:rsidR="00C9409D">
              <w:rPr>
                <w:sz w:val="22"/>
                <w:szCs w:val="22"/>
                <w:lang w:eastAsia="ru-RU"/>
              </w:rPr>
              <w:t>я</w:t>
            </w:r>
            <w:r w:rsidRPr="00173655">
              <w:rPr>
                <w:sz w:val="22"/>
                <w:szCs w:val="22"/>
                <w:lang w:eastAsia="ru-RU"/>
              </w:rPr>
              <w:t xml:space="preserve">, що підлягають встановленню </w:t>
            </w:r>
            <w:r w:rsidR="00C9409D">
              <w:rPr>
                <w:sz w:val="22"/>
                <w:szCs w:val="22"/>
                <w:lang w:eastAsia="ru-RU"/>
              </w:rPr>
              <w:t>під час</w:t>
            </w:r>
            <w:r w:rsidR="00C9409D" w:rsidRPr="00173655">
              <w:rPr>
                <w:sz w:val="22"/>
                <w:szCs w:val="22"/>
                <w:lang w:eastAsia="ru-RU"/>
              </w:rPr>
              <w:t xml:space="preserve"> </w:t>
            </w:r>
            <w:r w:rsidRPr="00173655">
              <w:rPr>
                <w:sz w:val="22"/>
                <w:szCs w:val="22"/>
                <w:lang w:eastAsia="ru-RU"/>
              </w:rPr>
              <w:t>проведенн</w:t>
            </w:r>
            <w:r w:rsidR="00C9409D">
              <w:rPr>
                <w:sz w:val="22"/>
                <w:szCs w:val="22"/>
                <w:lang w:eastAsia="ru-RU"/>
              </w:rPr>
              <w:t>я</w:t>
            </w:r>
            <w:r w:rsidRPr="00173655">
              <w:rPr>
                <w:sz w:val="22"/>
                <w:szCs w:val="22"/>
                <w:lang w:eastAsia="ru-RU"/>
              </w:rPr>
              <w:t xml:space="preserve"> капітального ремонту з переобладнанням трамвайних вагонів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125</w:t>
            </w:r>
            <w:r w:rsidR="00554703">
              <w:rPr>
                <w:sz w:val="22"/>
                <w:szCs w:val="22"/>
                <w:lang w:eastAsia="ru-RU"/>
              </w:rPr>
              <w:t xml:space="preserve"> </w:t>
            </w:r>
            <w:r w:rsidRPr="00173655">
              <w:rPr>
                <w:sz w:val="22"/>
                <w:szCs w:val="22"/>
                <w:lang w:eastAsia="ru-RU"/>
              </w:rPr>
              <w:t>677,2</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125</w:t>
            </w:r>
            <w:r w:rsidR="00554703">
              <w:rPr>
                <w:sz w:val="22"/>
                <w:szCs w:val="22"/>
                <w:lang w:eastAsia="ru-RU"/>
              </w:rPr>
              <w:t xml:space="preserve"> </w:t>
            </w:r>
            <w:r w:rsidRPr="00173655">
              <w:rPr>
                <w:sz w:val="22"/>
                <w:szCs w:val="22"/>
                <w:lang w:eastAsia="ru-RU"/>
              </w:rPr>
              <w:t>677,2</w:t>
            </w:r>
          </w:p>
        </w:tc>
      </w:tr>
      <w:tr w:rsidR="00173655" w:rsidRPr="00173655" w:rsidTr="00CE041D">
        <w:trPr>
          <w:trHeight w:val="56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запасних частин і  комплект</w:t>
            </w:r>
            <w:r w:rsidR="00C9409D">
              <w:rPr>
                <w:sz w:val="22"/>
                <w:szCs w:val="22"/>
                <w:lang w:eastAsia="ru-RU"/>
              </w:rPr>
              <w:t>увальних</w:t>
            </w:r>
            <w:r w:rsidRPr="00173655">
              <w:rPr>
                <w:sz w:val="22"/>
                <w:szCs w:val="22"/>
                <w:lang w:eastAsia="ru-RU"/>
              </w:rPr>
              <w:t xml:space="preserve"> для капітального ремонту з переобладнанням трамвайних вагонів із частково низьким рівнем підлоги</w:t>
            </w:r>
            <w:r w:rsidR="0035242B">
              <w:rPr>
                <w:sz w:val="22"/>
                <w:szCs w:val="22"/>
                <w:lang w:eastAsia="ru-RU"/>
              </w:rPr>
              <w:t>,</w:t>
            </w:r>
            <w:r w:rsidRPr="00173655">
              <w:rPr>
                <w:sz w:val="22"/>
                <w:szCs w:val="22"/>
                <w:lang w:eastAsia="ru-RU"/>
              </w:rPr>
              <w:t xml:space="preserve"> виконання робіт</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91</w:t>
            </w:r>
            <w:r w:rsidR="00554703">
              <w:rPr>
                <w:sz w:val="22"/>
                <w:szCs w:val="22"/>
                <w:lang w:eastAsia="ru-RU"/>
              </w:rPr>
              <w:t xml:space="preserve"> </w:t>
            </w:r>
            <w:r w:rsidRPr="00173655">
              <w:rPr>
                <w:sz w:val="22"/>
                <w:szCs w:val="22"/>
                <w:lang w:eastAsia="ru-RU"/>
              </w:rPr>
              <w:t>769,6</w:t>
            </w:r>
          </w:p>
        </w:tc>
      </w:tr>
      <w:tr w:rsidR="00173655" w:rsidRPr="00173655" w:rsidTr="00CE041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91</w:t>
            </w:r>
            <w:r w:rsidR="00554703">
              <w:rPr>
                <w:sz w:val="22"/>
                <w:szCs w:val="22"/>
                <w:lang w:eastAsia="ru-RU"/>
              </w:rPr>
              <w:t xml:space="preserve"> </w:t>
            </w:r>
            <w:r w:rsidRPr="00173655">
              <w:rPr>
                <w:sz w:val="22"/>
                <w:szCs w:val="22"/>
                <w:lang w:eastAsia="ru-RU"/>
              </w:rPr>
              <w:t>769,6</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Капітально-відновлювальний  ремонт трамваїв Tatra T3 шляхом заміни реостатно-контакторної системи керування на транзисторно-імпульсну (ТІСК)</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320</w:t>
            </w:r>
            <w:r w:rsidR="00554703">
              <w:rPr>
                <w:sz w:val="22"/>
                <w:szCs w:val="22"/>
                <w:lang w:eastAsia="ru-RU"/>
              </w:rPr>
              <w:t xml:space="preserve"> </w:t>
            </w:r>
            <w:r w:rsidRPr="00173655">
              <w:rPr>
                <w:sz w:val="22"/>
                <w:szCs w:val="22"/>
                <w:lang w:eastAsia="ru-RU"/>
              </w:rPr>
              <w:t>000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240</w:t>
            </w:r>
            <w:r w:rsidR="00554703">
              <w:rPr>
                <w:sz w:val="22"/>
                <w:szCs w:val="22"/>
                <w:lang w:eastAsia="ru-RU"/>
              </w:rPr>
              <w:t xml:space="preserve"> </w:t>
            </w:r>
            <w:r w:rsidRPr="00173655">
              <w:rPr>
                <w:sz w:val="22"/>
                <w:szCs w:val="22"/>
                <w:lang w:eastAsia="ru-RU"/>
              </w:rPr>
              <w:t>000</w:t>
            </w:r>
          </w:p>
        </w:tc>
      </w:tr>
      <w:tr w:rsidR="00173655" w:rsidRPr="00173655" w:rsidTr="00CE041D">
        <w:trPr>
          <w:trHeight w:val="4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80</w:t>
            </w:r>
            <w:r w:rsidR="00554703">
              <w:rPr>
                <w:sz w:val="22"/>
                <w:szCs w:val="22"/>
                <w:lang w:eastAsia="ru-RU"/>
              </w:rPr>
              <w:t xml:space="preserve"> </w:t>
            </w:r>
            <w:r w:rsidRPr="00173655">
              <w:rPr>
                <w:sz w:val="22"/>
                <w:szCs w:val="22"/>
                <w:lang w:eastAsia="ru-RU"/>
              </w:rPr>
              <w:t>000</w:t>
            </w:r>
          </w:p>
        </w:tc>
      </w:tr>
      <w:tr w:rsidR="00173655" w:rsidRPr="00173655" w:rsidTr="00CE041D">
        <w:trPr>
          <w:trHeight w:val="413"/>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транзисторно-імпульсної системи керування тяговим електродвигуном</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108</w:t>
            </w:r>
            <w:r w:rsidR="00554703">
              <w:rPr>
                <w:sz w:val="22"/>
                <w:szCs w:val="22"/>
                <w:lang w:eastAsia="ru-RU"/>
              </w:rPr>
              <w:t xml:space="preserve"> </w:t>
            </w:r>
            <w:r w:rsidRPr="00173655">
              <w:rPr>
                <w:sz w:val="22"/>
                <w:szCs w:val="22"/>
                <w:lang w:eastAsia="ru-RU"/>
              </w:rPr>
              <w:t>000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108</w:t>
            </w:r>
            <w:r w:rsidR="00554703">
              <w:rPr>
                <w:sz w:val="22"/>
                <w:szCs w:val="22"/>
                <w:lang w:eastAsia="ru-RU"/>
              </w:rPr>
              <w:t xml:space="preserve"> </w:t>
            </w:r>
            <w:r w:rsidRPr="00173655">
              <w:rPr>
                <w:sz w:val="22"/>
                <w:szCs w:val="22"/>
                <w:lang w:eastAsia="ru-RU"/>
              </w:rPr>
              <w:t>000</w:t>
            </w:r>
          </w:p>
        </w:tc>
      </w:tr>
      <w:tr w:rsidR="00173655" w:rsidRPr="00173655" w:rsidTr="00CE041D">
        <w:trPr>
          <w:trHeight w:val="480"/>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0E099B">
            <w:pPr>
              <w:ind w:firstLine="333"/>
              <w:rPr>
                <w:sz w:val="22"/>
                <w:szCs w:val="22"/>
                <w:lang w:eastAsia="ru-RU"/>
              </w:rPr>
            </w:pPr>
            <w:r w:rsidRPr="00173655">
              <w:rPr>
                <w:sz w:val="22"/>
                <w:szCs w:val="22"/>
                <w:lang w:eastAsia="ru-RU"/>
              </w:rPr>
              <w:t>Придбання комплектів обшивки  для облаштування екстер</w:t>
            </w:r>
            <w:r w:rsidR="000E099B">
              <w:rPr>
                <w:sz w:val="22"/>
                <w:szCs w:val="22"/>
                <w:lang w:eastAsia="ru-RU"/>
              </w:rPr>
              <w:t>’</w:t>
            </w:r>
            <w:r w:rsidRPr="00173655">
              <w:rPr>
                <w:sz w:val="22"/>
                <w:szCs w:val="22"/>
                <w:lang w:eastAsia="ru-RU"/>
              </w:rPr>
              <w:t>єру та інтер'єру салону та кабіни трамва</w:t>
            </w:r>
            <w:r w:rsidR="00C9409D">
              <w:rPr>
                <w:sz w:val="22"/>
                <w:szCs w:val="22"/>
                <w:lang w:eastAsia="ru-RU"/>
              </w:rPr>
              <w:t>я</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132</w:t>
            </w:r>
            <w:r w:rsidR="00554703">
              <w:rPr>
                <w:sz w:val="22"/>
                <w:szCs w:val="22"/>
                <w:lang w:eastAsia="ru-RU"/>
              </w:rPr>
              <w:t xml:space="preserve"> </w:t>
            </w:r>
            <w:r w:rsidRPr="00173655">
              <w:rPr>
                <w:sz w:val="22"/>
                <w:szCs w:val="22"/>
                <w:lang w:eastAsia="ru-RU"/>
              </w:rPr>
              <w:t>000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132</w:t>
            </w:r>
            <w:r w:rsidR="00554703">
              <w:rPr>
                <w:sz w:val="22"/>
                <w:szCs w:val="22"/>
                <w:lang w:eastAsia="ru-RU"/>
              </w:rPr>
              <w:t xml:space="preserve"> </w:t>
            </w:r>
            <w:r w:rsidRPr="00173655">
              <w:rPr>
                <w:sz w:val="22"/>
                <w:szCs w:val="22"/>
                <w:lang w:eastAsia="ru-RU"/>
              </w:rPr>
              <w:t>000</w:t>
            </w:r>
          </w:p>
        </w:tc>
      </w:tr>
      <w:tr w:rsidR="00173655" w:rsidRPr="00173655" w:rsidTr="00CE041D">
        <w:trPr>
          <w:trHeight w:val="309"/>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запасних частин і комплекту</w:t>
            </w:r>
            <w:r w:rsidR="00C9409D">
              <w:rPr>
                <w:sz w:val="22"/>
                <w:szCs w:val="22"/>
                <w:lang w:eastAsia="ru-RU"/>
              </w:rPr>
              <w:t>вальних</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80</w:t>
            </w:r>
            <w:r w:rsidR="00554703">
              <w:rPr>
                <w:sz w:val="22"/>
                <w:szCs w:val="22"/>
                <w:lang w:eastAsia="ru-RU"/>
              </w:rPr>
              <w:t xml:space="preserve"> </w:t>
            </w:r>
            <w:r w:rsidRPr="00173655">
              <w:rPr>
                <w:sz w:val="22"/>
                <w:szCs w:val="22"/>
                <w:lang w:eastAsia="ru-RU"/>
              </w:rPr>
              <w:t>000</w:t>
            </w:r>
          </w:p>
        </w:tc>
      </w:tr>
      <w:tr w:rsidR="00173655" w:rsidRPr="00173655" w:rsidTr="00CE041D">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80</w:t>
            </w:r>
            <w:r w:rsidR="00554703">
              <w:rPr>
                <w:sz w:val="22"/>
                <w:szCs w:val="22"/>
                <w:lang w:eastAsia="ru-RU"/>
              </w:rPr>
              <w:t xml:space="preserve"> </w:t>
            </w:r>
            <w:r w:rsidRPr="00173655">
              <w:rPr>
                <w:sz w:val="22"/>
                <w:szCs w:val="22"/>
                <w:lang w:eastAsia="ru-RU"/>
              </w:rPr>
              <w:t>000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Розробка про</w:t>
            </w:r>
            <w:r w:rsidR="00C9409D">
              <w:rPr>
                <w:sz w:val="22"/>
                <w:szCs w:val="22"/>
                <w:lang w:eastAsia="ru-RU"/>
              </w:rPr>
              <w:t>є</w:t>
            </w:r>
            <w:r w:rsidRPr="00173655">
              <w:rPr>
                <w:sz w:val="22"/>
                <w:szCs w:val="22"/>
                <w:lang w:eastAsia="ru-RU"/>
              </w:rPr>
              <w:t xml:space="preserve">кту та виконання робіт </w:t>
            </w:r>
            <w:r w:rsidR="00C9409D">
              <w:rPr>
                <w:sz w:val="22"/>
                <w:szCs w:val="22"/>
                <w:lang w:eastAsia="ru-RU"/>
              </w:rPr>
              <w:t>і</w:t>
            </w:r>
            <w:r w:rsidRPr="00173655">
              <w:rPr>
                <w:sz w:val="22"/>
                <w:szCs w:val="22"/>
                <w:lang w:eastAsia="ru-RU"/>
              </w:rPr>
              <w:t>з капітального ремонту контактної мережі трамвая за маршрутом №</w:t>
            </w:r>
            <w:r w:rsidR="00C9409D">
              <w:rPr>
                <w:sz w:val="22"/>
                <w:szCs w:val="22"/>
                <w:lang w:eastAsia="ru-RU"/>
              </w:rPr>
              <w:t> </w:t>
            </w:r>
            <w:r w:rsidRPr="00173655">
              <w:rPr>
                <w:sz w:val="22"/>
                <w:szCs w:val="22"/>
                <w:lang w:eastAsia="ru-RU"/>
              </w:rPr>
              <w:t xml:space="preserve">21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17</w:t>
            </w:r>
            <w:r w:rsidR="00554703">
              <w:rPr>
                <w:sz w:val="22"/>
                <w:szCs w:val="22"/>
                <w:lang w:eastAsia="ru-RU"/>
              </w:rPr>
              <w:t xml:space="preserve"> </w:t>
            </w:r>
            <w:r w:rsidRPr="00173655">
              <w:rPr>
                <w:sz w:val="22"/>
                <w:szCs w:val="22"/>
                <w:lang w:eastAsia="ru-RU"/>
              </w:rPr>
              <w:t>672,7</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w:t>
            </w:r>
            <w:r w:rsidR="00554703">
              <w:rPr>
                <w:sz w:val="22"/>
                <w:szCs w:val="22"/>
                <w:lang w:eastAsia="ru-RU"/>
              </w:rPr>
              <w:t xml:space="preserve"> </w:t>
            </w:r>
            <w:r w:rsidRPr="00173655">
              <w:rPr>
                <w:sz w:val="22"/>
                <w:szCs w:val="22"/>
                <w:lang w:eastAsia="ru-RU"/>
              </w:rPr>
              <w:t>6720</w:t>
            </w:r>
          </w:p>
        </w:tc>
      </w:tr>
      <w:tr w:rsidR="00173655" w:rsidRPr="00173655" w:rsidTr="00CE041D">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 xml:space="preserve"> 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952,7</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Розробка про</w:t>
            </w:r>
            <w:r w:rsidR="00C9409D">
              <w:rPr>
                <w:sz w:val="22"/>
                <w:szCs w:val="22"/>
                <w:lang w:eastAsia="ru-RU"/>
              </w:rPr>
              <w:t>є</w:t>
            </w:r>
            <w:r w:rsidRPr="00173655">
              <w:rPr>
                <w:sz w:val="22"/>
                <w:szCs w:val="22"/>
                <w:lang w:eastAsia="ru-RU"/>
              </w:rPr>
              <w:t xml:space="preserve">кту та виконання робіт </w:t>
            </w:r>
            <w:r w:rsidR="00C9409D">
              <w:rPr>
                <w:sz w:val="22"/>
                <w:szCs w:val="22"/>
                <w:lang w:eastAsia="ru-RU"/>
              </w:rPr>
              <w:t>і</w:t>
            </w:r>
            <w:r w:rsidRPr="00173655">
              <w:rPr>
                <w:sz w:val="22"/>
                <w:szCs w:val="22"/>
                <w:lang w:eastAsia="ru-RU"/>
              </w:rPr>
              <w:t xml:space="preserve">з  капітального ремонту   контактної мережі тролейбуса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54</w:t>
            </w:r>
            <w:r w:rsidR="00554703">
              <w:rPr>
                <w:sz w:val="22"/>
                <w:szCs w:val="22"/>
                <w:lang w:eastAsia="ru-RU"/>
              </w:rPr>
              <w:t xml:space="preserve"> </w:t>
            </w:r>
            <w:r w:rsidRPr="00173655">
              <w:rPr>
                <w:sz w:val="22"/>
                <w:szCs w:val="22"/>
                <w:lang w:eastAsia="ru-RU"/>
              </w:rPr>
              <w:t>360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52</w:t>
            </w:r>
            <w:r w:rsidR="00554703">
              <w:rPr>
                <w:sz w:val="22"/>
                <w:szCs w:val="22"/>
                <w:lang w:eastAsia="ru-RU"/>
              </w:rPr>
              <w:t xml:space="preserve"> </w:t>
            </w:r>
            <w:r w:rsidRPr="00173655">
              <w:rPr>
                <w:sz w:val="22"/>
                <w:szCs w:val="22"/>
                <w:lang w:eastAsia="ru-RU"/>
              </w:rPr>
              <w:t>800</w:t>
            </w:r>
          </w:p>
        </w:tc>
      </w:tr>
      <w:tr w:rsidR="00173655" w:rsidRPr="00173655" w:rsidTr="00CE041D">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1560</w:t>
            </w:r>
          </w:p>
        </w:tc>
      </w:tr>
      <w:tr w:rsidR="00173655" w:rsidRPr="00173655" w:rsidTr="00CE041D">
        <w:trPr>
          <w:trHeight w:val="196"/>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9409D">
            <w:pPr>
              <w:ind w:firstLine="333"/>
              <w:rPr>
                <w:sz w:val="22"/>
                <w:szCs w:val="22"/>
                <w:lang w:eastAsia="ru-RU"/>
              </w:rPr>
            </w:pPr>
            <w:r w:rsidRPr="00173655">
              <w:rPr>
                <w:sz w:val="22"/>
                <w:szCs w:val="22"/>
                <w:lang w:eastAsia="ru-RU"/>
              </w:rPr>
              <w:t>Розробка про</w:t>
            </w:r>
            <w:r w:rsidR="00C9409D">
              <w:rPr>
                <w:sz w:val="22"/>
                <w:szCs w:val="22"/>
                <w:lang w:eastAsia="ru-RU"/>
              </w:rPr>
              <w:t>єкт</w:t>
            </w:r>
            <w:r w:rsidRPr="00173655">
              <w:rPr>
                <w:sz w:val="22"/>
                <w:szCs w:val="22"/>
                <w:lang w:eastAsia="ru-RU"/>
              </w:rPr>
              <w:t xml:space="preserve">ів та виконання робіт </w:t>
            </w:r>
            <w:r w:rsidR="00C9409D">
              <w:rPr>
                <w:sz w:val="22"/>
                <w:szCs w:val="22"/>
                <w:lang w:eastAsia="ru-RU"/>
              </w:rPr>
              <w:t>і</w:t>
            </w:r>
            <w:r w:rsidRPr="00173655">
              <w:rPr>
                <w:sz w:val="22"/>
                <w:szCs w:val="22"/>
                <w:lang w:eastAsia="ru-RU"/>
              </w:rPr>
              <w:t>з капітального ремонту переїздів трамвайної колії за маршрутом  №</w:t>
            </w:r>
            <w:r w:rsidR="00C9409D">
              <w:rPr>
                <w:sz w:val="22"/>
                <w:szCs w:val="22"/>
                <w:lang w:eastAsia="ru-RU"/>
              </w:rPr>
              <w:t xml:space="preserve"> </w:t>
            </w:r>
            <w:r w:rsidRPr="00173655">
              <w:rPr>
                <w:sz w:val="22"/>
                <w:szCs w:val="22"/>
                <w:lang w:eastAsia="ru-RU"/>
              </w:rPr>
              <w:t>18</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w:t>
            </w:r>
            <w:r w:rsidR="00554703">
              <w:rPr>
                <w:sz w:val="22"/>
                <w:szCs w:val="22"/>
                <w:lang w:eastAsia="ru-RU"/>
              </w:rPr>
              <w:t xml:space="preserve"> </w:t>
            </w:r>
            <w:r w:rsidRPr="00173655">
              <w:rPr>
                <w:sz w:val="22"/>
                <w:szCs w:val="22"/>
                <w:lang w:eastAsia="ru-RU"/>
              </w:rPr>
              <w:t>6261,3</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90</w:t>
            </w:r>
            <w:r w:rsidR="00554703">
              <w:rPr>
                <w:sz w:val="22"/>
                <w:szCs w:val="22"/>
                <w:lang w:eastAsia="ru-RU"/>
              </w:rPr>
              <w:t xml:space="preserve"> </w:t>
            </w:r>
            <w:r w:rsidRPr="00173655">
              <w:rPr>
                <w:sz w:val="22"/>
                <w:szCs w:val="22"/>
                <w:lang w:eastAsia="ru-RU"/>
              </w:rPr>
              <w:t>984</w:t>
            </w:r>
          </w:p>
        </w:tc>
      </w:tr>
      <w:tr w:rsidR="00173655" w:rsidRPr="00173655" w:rsidTr="00CE041D">
        <w:trPr>
          <w:trHeight w:val="1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5</w:t>
            </w:r>
            <w:r w:rsidR="00554703">
              <w:rPr>
                <w:sz w:val="22"/>
                <w:szCs w:val="22"/>
                <w:lang w:eastAsia="ru-RU"/>
              </w:rPr>
              <w:t xml:space="preserve"> </w:t>
            </w:r>
            <w:r w:rsidRPr="00173655">
              <w:rPr>
                <w:sz w:val="22"/>
                <w:szCs w:val="22"/>
                <w:lang w:eastAsia="ru-RU"/>
              </w:rPr>
              <w:t>277,3</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Розробка про</w:t>
            </w:r>
            <w:r w:rsidR="00C9409D">
              <w:rPr>
                <w:sz w:val="22"/>
                <w:szCs w:val="22"/>
                <w:lang w:eastAsia="ru-RU"/>
              </w:rPr>
              <w:t>є</w:t>
            </w:r>
            <w:r w:rsidRPr="00173655">
              <w:rPr>
                <w:sz w:val="22"/>
                <w:szCs w:val="22"/>
                <w:lang w:eastAsia="ru-RU"/>
              </w:rPr>
              <w:t xml:space="preserve">кту та виконання робіт </w:t>
            </w:r>
            <w:r w:rsidR="00C9409D">
              <w:rPr>
                <w:sz w:val="22"/>
                <w:szCs w:val="22"/>
                <w:lang w:eastAsia="ru-RU"/>
              </w:rPr>
              <w:t>і</w:t>
            </w:r>
            <w:r w:rsidRPr="00173655">
              <w:rPr>
                <w:sz w:val="22"/>
                <w:szCs w:val="22"/>
                <w:lang w:eastAsia="ru-RU"/>
              </w:rPr>
              <w:t>з капітального ремонту кабельної мережі   методом горизонтального буріння</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16</w:t>
            </w:r>
            <w:r w:rsidR="00554703">
              <w:rPr>
                <w:sz w:val="22"/>
                <w:szCs w:val="22"/>
                <w:lang w:eastAsia="ru-RU"/>
              </w:rPr>
              <w:t xml:space="preserve"> </w:t>
            </w:r>
            <w:r w:rsidRPr="00173655">
              <w:rPr>
                <w:sz w:val="22"/>
                <w:szCs w:val="22"/>
                <w:lang w:eastAsia="ru-RU"/>
              </w:rPr>
              <w:t>190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15</w:t>
            </w:r>
            <w:r w:rsidR="00554703">
              <w:rPr>
                <w:sz w:val="22"/>
                <w:szCs w:val="22"/>
                <w:lang w:eastAsia="ru-RU"/>
              </w:rPr>
              <w:t xml:space="preserve"> </w:t>
            </w:r>
            <w:r w:rsidRPr="00173655">
              <w:rPr>
                <w:sz w:val="22"/>
                <w:szCs w:val="22"/>
                <w:lang w:eastAsia="ru-RU"/>
              </w:rPr>
              <w:t>400</w:t>
            </w:r>
          </w:p>
        </w:tc>
      </w:tr>
      <w:tr w:rsidR="00173655" w:rsidRPr="00173655" w:rsidTr="00CE041D">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790</w:t>
            </w:r>
          </w:p>
        </w:tc>
      </w:tr>
      <w:tr w:rsidR="00173655" w:rsidRPr="00173655" w:rsidTr="00CE041D">
        <w:trPr>
          <w:trHeight w:val="273"/>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обладнання для проведення реконструкції  тягових підстанцій</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89</w:t>
            </w:r>
            <w:r w:rsidR="00554703">
              <w:rPr>
                <w:sz w:val="22"/>
                <w:szCs w:val="22"/>
                <w:lang w:eastAsia="ru-RU"/>
              </w:rPr>
              <w:t xml:space="preserve"> </w:t>
            </w:r>
            <w:r w:rsidRPr="00173655">
              <w:rPr>
                <w:sz w:val="22"/>
                <w:szCs w:val="22"/>
                <w:lang w:eastAsia="ru-RU"/>
              </w:rPr>
              <w:t>944</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89</w:t>
            </w:r>
            <w:r w:rsidR="00554703">
              <w:rPr>
                <w:sz w:val="22"/>
                <w:szCs w:val="22"/>
                <w:lang w:eastAsia="ru-RU"/>
              </w:rPr>
              <w:t xml:space="preserve"> </w:t>
            </w:r>
            <w:r w:rsidRPr="00173655">
              <w:rPr>
                <w:sz w:val="22"/>
                <w:szCs w:val="22"/>
                <w:lang w:eastAsia="ru-RU"/>
              </w:rPr>
              <w:t>944</w:t>
            </w:r>
          </w:p>
        </w:tc>
      </w:tr>
      <w:tr w:rsidR="00173655" w:rsidRPr="00173655" w:rsidTr="00CE041D">
        <w:trPr>
          <w:trHeight w:val="431"/>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автоматизованої системи диспетчерського управління електропостачанням міського електротранспорту м</w:t>
            </w:r>
            <w:r w:rsidR="00C9409D">
              <w:rPr>
                <w:sz w:val="22"/>
                <w:szCs w:val="22"/>
                <w:lang w:eastAsia="ru-RU"/>
              </w:rPr>
              <w:t>іста</w:t>
            </w:r>
            <w:r w:rsidRPr="00173655">
              <w:rPr>
                <w:sz w:val="22"/>
                <w:szCs w:val="22"/>
                <w:lang w:eastAsia="ru-RU"/>
              </w:rPr>
              <w:t xml:space="preserve"> Одеса</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15</w:t>
            </w:r>
            <w:r w:rsidR="00554703">
              <w:rPr>
                <w:sz w:val="22"/>
                <w:szCs w:val="22"/>
                <w:lang w:eastAsia="ru-RU"/>
              </w:rPr>
              <w:t xml:space="preserve"> </w:t>
            </w:r>
            <w:r w:rsidRPr="00173655">
              <w:rPr>
                <w:sz w:val="22"/>
                <w:szCs w:val="22"/>
                <w:lang w:eastAsia="ru-RU"/>
              </w:rPr>
              <w:t>600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15</w:t>
            </w:r>
            <w:r w:rsidR="00554703">
              <w:rPr>
                <w:sz w:val="22"/>
                <w:szCs w:val="22"/>
                <w:lang w:eastAsia="ru-RU"/>
              </w:rPr>
              <w:t xml:space="preserve"> </w:t>
            </w:r>
            <w:r w:rsidRPr="00173655">
              <w:rPr>
                <w:sz w:val="22"/>
                <w:szCs w:val="22"/>
                <w:lang w:eastAsia="ru-RU"/>
              </w:rPr>
              <w:t>600</w:t>
            </w:r>
          </w:p>
        </w:tc>
      </w:tr>
      <w:tr w:rsidR="00173655" w:rsidRPr="00173655" w:rsidTr="00CE041D">
        <w:trPr>
          <w:trHeight w:val="390"/>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 xml:space="preserve">Придбання автоматизованих звукових </w:t>
            </w:r>
            <w:r w:rsidRPr="00173655">
              <w:rPr>
                <w:sz w:val="22"/>
                <w:szCs w:val="22"/>
                <w:lang w:eastAsia="ru-RU"/>
              </w:rPr>
              <w:lastRenderedPageBreak/>
              <w:t>інформаторів для оповіщення пасажирів</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554703">
            <w:pPr>
              <w:rPr>
                <w:sz w:val="22"/>
                <w:szCs w:val="22"/>
                <w:lang w:eastAsia="ru-RU"/>
              </w:rPr>
            </w:pPr>
            <w:r w:rsidRPr="00173655">
              <w:rPr>
                <w:sz w:val="22"/>
                <w:szCs w:val="22"/>
                <w:lang w:eastAsia="ru-RU"/>
              </w:rPr>
              <w:lastRenderedPageBreak/>
              <w:t xml:space="preserve">Усього, </w:t>
            </w:r>
            <w:r w:rsidR="00554703">
              <w:rPr>
                <w:sz w:val="22"/>
                <w:szCs w:val="22"/>
                <w:lang w:eastAsia="ru-RU"/>
              </w:rPr>
              <w:t>у</w:t>
            </w:r>
            <w:r w:rsidR="00554703" w:rsidRPr="00173655">
              <w:rPr>
                <w:sz w:val="22"/>
                <w:szCs w:val="22"/>
                <w:lang w:eastAsia="ru-RU"/>
              </w:rPr>
              <w:t xml:space="preserve"> </w:t>
            </w:r>
            <w:r w:rsidRPr="00173655">
              <w:rPr>
                <w:sz w:val="22"/>
                <w:szCs w:val="22"/>
                <w:lang w:eastAsia="ru-RU"/>
              </w:rPr>
              <w:t>т.</w:t>
            </w:r>
            <w:r w:rsidR="00554703">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660</w:t>
            </w:r>
          </w:p>
        </w:tc>
      </w:tr>
      <w:tr w:rsidR="00173655" w:rsidRPr="00173655" w:rsidTr="00CE041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660</w:t>
            </w:r>
          </w:p>
        </w:tc>
      </w:tr>
      <w:tr w:rsidR="00173655" w:rsidRPr="00173655" w:rsidTr="00CE041D">
        <w:trPr>
          <w:trHeight w:val="261"/>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Придбання електронного табло та супутнього обладнання</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3B5009">
            <w:pPr>
              <w:rPr>
                <w:sz w:val="22"/>
                <w:szCs w:val="22"/>
                <w:lang w:eastAsia="ru-RU"/>
              </w:rPr>
            </w:pPr>
            <w:r w:rsidRPr="00173655">
              <w:rPr>
                <w:sz w:val="22"/>
                <w:szCs w:val="22"/>
                <w:lang w:eastAsia="ru-RU"/>
              </w:rPr>
              <w:t xml:space="preserve">Усього, </w:t>
            </w:r>
            <w:r w:rsidR="003B5009">
              <w:rPr>
                <w:sz w:val="22"/>
                <w:szCs w:val="22"/>
                <w:lang w:eastAsia="ru-RU"/>
              </w:rPr>
              <w:t>у</w:t>
            </w:r>
            <w:r w:rsidR="003B5009" w:rsidRPr="00173655">
              <w:rPr>
                <w:sz w:val="22"/>
                <w:szCs w:val="22"/>
                <w:lang w:eastAsia="ru-RU"/>
              </w:rPr>
              <w:t xml:space="preserve"> </w:t>
            </w:r>
            <w:r w:rsidRPr="00173655">
              <w:rPr>
                <w:sz w:val="22"/>
                <w:szCs w:val="22"/>
                <w:lang w:eastAsia="ru-RU"/>
              </w:rPr>
              <w:t>т.</w:t>
            </w:r>
            <w:r w:rsidR="003B5009">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w:t>
            </w:r>
            <w:r w:rsidR="003B5009">
              <w:rPr>
                <w:sz w:val="22"/>
                <w:szCs w:val="22"/>
                <w:lang w:eastAsia="ru-RU"/>
              </w:rPr>
              <w:t xml:space="preserve"> </w:t>
            </w:r>
            <w:r w:rsidRPr="00173655">
              <w:rPr>
                <w:sz w:val="22"/>
                <w:szCs w:val="22"/>
                <w:lang w:eastAsia="ru-RU"/>
              </w:rPr>
              <w:t>250</w:t>
            </w:r>
          </w:p>
        </w:tc>
      </w:tr>
      <w:tr w:rsidR="00173655" w:rsidRPr="00173655" w:rsidTr="00CE041D">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w:t>
            </w:r>
            <w:r w:rsidR="003B5009">
              <w:rPr>
                <w:sz w:val="22"/>
                <w:szCs w:val="22"/>
                <w:lang w:eastAsia="ru-RU"/>
              </w:rPr>
              <w:t xml:space="preserve"> </w:t>
            </w:r>
            <w:r w:rsidRPr="00173655">
              <w:rPr>
                <w:sz w:val="22"/>
                <w:szCs w:val="22"/>
                <w:lang w:eastAsia="ru-RU"/>
              </w:rPr>
              <w:t>250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Ремонт виробничих приміщень та ремонтних  боксів підрозділів комунального підприємства «Одесміськелектро</w:t>
            </w:r>
            <w:r w:rsidR="00C9409D">
              <w:rPr>
                <w:sz w:val="22"/>
                <w:szCs w:val="22"/>
                <w:lang w:eastAsia="ru-RU"/>
              </w:rPr>
              <w:t>т</w:t>
            </w:r>
            <w:r w:rsidRPr="00173655">
              <w:rPr>
                <w:sz w:val="22"/>
                <w:szCs w:val="22"/>
                <w:lang w:eastAsia="ru-RU"/>
              </w:rPr>
              <w:t>ранс»</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3B5009">
            <w:pPr>
              <w:rPr>
                <w:sz w:val="22"/>
                <w:szCs w:val="22"/>
                <w:lang w:eastAsia="ru-RU"/>
              </w:rPr>
            </w:pPr>
            <w:r w:rsidRPr="00173655">
              <w:rPr>
                <w:sz w:val="22"/>
                <w:szCs w:val="22"/>
                <w:lang w:eastAsia="ru-RU"/>
              </w:rPr>
              <w:t xml:space="preserve">Усього, </w:t>
            </w:r>
            <w:r w:rsidR="003B5009">
              <w:rPr>
                <w:sz w:val="22"/>
                <w:szCs w:val="22"/>
                <w:lang w:eastAsia="ru-RU"/>
              </w:rPr>
              <w:t>у</w:t>
            </w:r>
            <w:r w:rsidR="003B5009" w:rsidRPr="00173655">
              <w:rPr>
                <w:sz w:val="22"/>
                <w:szCs w:val="22"/>
                <w:lang w:eastAsia="ru-RU"/>
              </w:rPr>
              <w:t xml:space="preserve"> </w:t>
            </w:r>
            <w:r w:rsidRPr="00173655">
              <w:rPr>
                <w:sz w:val="22"/>
                <w:szCs w:val="22"/>
                <w:lang w:eastAsia="ru-RU"/>
              </w:rPr>
              <w:t>т.</w:t>
            </w:r>
            <w:r w:rsidR="003B5009">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w:t>
            </w:r>
            <w:r w:rsidR="003B5009">
              <w:rPr>
                <w:sz w:val="22"/>
                <w:szCs w:val="22"/>
                <w:lang w:eastAsia="ru-RU"/>
              </w:rPr>
              <w:t xml:space="preserve"> </w:t>
            </w:r>
            <w:r w:rsidRPr="00173655">
              <w:rPr>
                <w:sz w:val="22"/>
                <w:szCs w:val="22"/>
                <w:lang w:eastAsia="ru-RU"/>
              </w:rPr>
              <w:t>150</w:t>
            </w:r>
          </w:p>
        </w:tc>
      </w:tr>
      <w:tr w:rsidR="00173655" w:rsidRPr="00173655" w:rsidTr="00CE041D">
        <w:trPr>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3</w:t>
            </w:r>
            <w:r w:rsidR="003B5009">
              <w:rPr>
                <w:sz w:val="22"/>
                <w:szCs w:val="22"/>
                <w:lang w:eastAsia="ru-RU"/>
              </w:rPr>
              <w:t xml:space="preserve"> </w:t>
            </w:r>
            <w:r w:rsidRPr="00173655">
              <w:rPr>
                <w:sz w:val="22"/>
                <w:szCs w:val="22"/>
                <w:lang w:eastAsia="ru-RU"/>
              </w:rPr>
              <w:t>150</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 xml:space="preserve">Ремонт дитячої оздоровчої бази відпочинку «Мрія» </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3B5009">
            <w:pPr>
              <w:rPr>
                <w:sz w:val="22"/>
                <w:szCs w:val="22"/>
                <w:lang w:eastAsia="ru-RU"/>
              </w:rPr>
            </w:pPr>
            <w:r w:rsidRPr="00173655">
              <w:rPr>
                <w:sz w:val="22"/>
                <w:szCs w:val="22"/>
                <w:lang w:eastAsia="ru-RU"/>
              </w:rPr>
              <w:t xml:space="preserve">Усього, </w:t>
            </w:r>
            <w:r w:rsidR="003B5009">
              <w:rPr>
                <w:sz w:val="22"/>
                <w:szCs w:val="22"/>
                <w:lang w:eastAsia="ru-RU"/>
              </w:rPr>
              <w:t>у</w:t>
            </w:r>
            <w:r w:rsidR="003B5009" w:rsidRPr="00173655">
              <w:rPr>
                <w:sz w:val="22"/>
                <w:szCs w:val="22"/>
                <w:lang w:eastAsia="ru-RU"/>
              </w:rPr>
              <w:t xml:space="preserve"> </w:t>
            </w:r>
            <w:r w:rsidRPr="00173655">
              <w:rPr>
                <w:sz w:val="22"/>
                <w:szCs w:val="22"/>
                <w:lang w:eastAsia="ru-RU"/>
              </w:rPr>
              <w:t>т.</w:t>
            </w:r>
            <w:r w:rsidR="003B5009">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w:t>
            </w:r>
            <w:r w:rsidR="003B5009">
              <w:rPr>
                <w:sz w:val="22"/>
                <w:szCs w:val="22"/>
                <w:lang w:eastAsia="ru-RU"/>
              </w:rPr>
              <w:t xml:space="preserve"> </w:t>
            </w:r>
            <w:r w:rsidRPr="00173655">
              <w:rPr>
                <w:sz w:val="22"/>
                <w:szCs w:val="22"/>
                <w:lang w:eastAsia="ru-RU"/>
              </w:rPr>
              <w:t>764,2</w:t>
            </w:r>
          </w:p>
        </w:tc>
      </w:tr>
      <w:tr w:rsidR="00173655" w:rsidRPr="00173655" w:rsidTr="00CE041D">
        <w:trPr>
          <w:trHeight w:val="3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w:t>
            </w:r>
            <w:r w:rsidR="003B5009">
              <w:rPr>
                <w:sz w:val="22"/>
                <w:szCs w:val="22"/>
                <w:lang w:eastAsia="ru-RU"/>
              </w:rPr>
              <w:t xml:space="preserve"> </w:t>
            </w:r>
            <w:r w:rsidRPr="00173655">
              <w:rPr>
                <w:sz w:val="22"/>
                <w:szCs w:val="22"/>
                <w:lang w:eastAsia="ru-RU"/>
              </w:rPr>
              <w:t>764,2</w:t>
            </w:r>
          </w:p>
        </w:tc>
      </w:tr>
      <w:tr w:rsidR="00173655" w:rsidRPr="00173655" w:rsidTr="00CE041D">
        <w:trPr>
          <w:trHeight w:val="3112"/>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781B8A">
            <w:pPr>
              <w:ind w:firstLine="333"/>
              <w:rPr>
                <w:sz w:val="22"/>
                <w:szCs w:val="22"/>
                <w:lang w:eastAsia="ru-RU"/>
              </w:rPr>
            </w:pPr>
            <w:r w:rsidRPr="00173655">
              <w:rPr>
                <w:sz w:val="22"/>
                <w:szCs w:val="22"/>
                <w:lang w:eastAsia="ru-RU"/>
              </w:rPr>
              <w:t xml:space="preserve">Здійснення заходів </w:t>
            </w:r>
            <w:r w:rsidR="001D1B7F">
              <w:rPr>
                <w:sz w:val="22"/>
                <w:szCs w:val="22"/>
                <w:lang w:eastAsia="ru-RU"/>
              </w:rPr>
              <w:t>і</w:t>
            </w:r>
            <w:r w:rsidRPr="00173655">
              <w:rPr>
                <w:sz w:val="22"/>
                <w:szCs w:val="22"/>
                <w:lang w:eastAsia="ru-RU"/>
              </w:rPr>
              <w:t>з пожежної безпеки: виготовлення про</w:t>
            </w:r>
            <w:r w:rsidR="001D1B7F">
              <w:rPr>
                <w:sz w:val="22"/>
                <w:szCs w:val="22"/>
                <w:lang w:eastAsia="ru-RU"/>
              </w:rPr>
              <w:t>є</w:t>
            </w:r>
            <w:r w:rsidRPr="00173655">
              <w:rPr>
                <w:sz w:val="22"/>
                <w:szCs w:val="22"/>
                <w:lang w:eastAsia="ru-RU"/>
              </w:rPr>
              <w:t xml:space="preserve">ктно-кошторисної документації з отриманням експертного звіту, проведення робіт з монтажу системи пожежної сигналізації та устаткування тривожних сповіщень, системи оповіщення </w:t>
            </w:r>
            <w:r w:rsidR="001D1B7F">
              <w:rPr>
                <w:sz w:val="22"/>
                <w:szCs w:val="22"/>
                <w:lang w:eastAsia="ru-RU"/>
              </w:rPr>
              <w:t>й</w:t>
            </w:r>
            <w:r w:rsidR="001D1B7F" w:rsidRPr="00173655">
              <w:rPr>
                <w:sz w:val="22"/>
                <w:szCs w:val="22"/>
                <w:lang w:eastAsia="ru-RU"/>
              </w:rPr>
              <w:t xml:space="preserve"> </w:t>
            </w:r>
            <w:r w:rsidRPr="00173655">
              <w:rPr>
                <w:sz w:val="22"/>
                <w:szCs w:val="22"/>
                <w:lang w:eastAsia="ru-RU"/>
              </w:rPr>
              <w:t>управління евакуацією людей, монтаж системи блискавкозахисту для нежитлових будівель, вогнезахисна обробка дерев</w:t>
            </w:r>
            <w:r w:rsidR="001D1B7F">
              <w:rPr>
                <w:sz w:val="22"/>
                <w:szCs w:val="22"/>
                <w:lang w:eastAsia="ru-RU"/>
              </w:rPr>
              <w:t>’</w:t>
            </w:r>
            <w:r w:rsidRPr="00173655">
              <w:rPr>
                <w:sz w:val="22"/>
                <w:szCs w:val="22"/>
                <w:lang w:eastAsia="ru-RU"/>
              </w:rPr>
              <w:t xml:space="preserve">яних конструкцій горищних приміщень нежитлових будівель  за  </w:t>
            </w:r>
            <w:r w:rsidR="001D1B7F">
              <w:rPr>
                <w:sz w:val="22"/>
                <w:szCs w:val="22"/>
                <w:lang w:eastAsia="ru-RU"/>
              </w:rPr>
              <w:t>такими</w:t>
            </w:r>
            <w:r w:rsidR="001D1B7F" w:rsidRPr="00173655">
              <w:rPr>
                <w:sz w:val="22"/>
                <w:szCs w:val="22"/>
                <w:lang w:eastAsia="ru-RU"/>
              </w:rPr>
              <w:t xml:space="preserve"> </w:t>
            </w:r>
            <w:r w:rsidRPr="00173655">
              <w:rPr>
                <w:sz w:val="22"/>
                <w:szCs w:val="22"/>
                <w:lang w:eastAsia="ru-RU"/>
              </w:rPr>
              <w:t>адресами: СРК і С</w:t>
            </w:r>
            <w:r w:rsidR="00781B8A">
              <w:rPr>
                <w:sz w:val="22"/>
                <w:szCs w:val="22"/>
                <w:lang w:eastAsia="ru-RU"/>
              </w:rPr>
              <w:t>,</w:t>
            </w:r>
            <w:r w:rsidRPr="00173655">
              <w:rPr>
                <w:sz w:val="22"/>
                <w:szCs w:val="22"/>
                <w:lang w:eastAsia="ru-RU"/>
              </w:rPr>
              <w:t xml:space="preserve">   м. Одеса, пл. Олексіївська, 21-А;  УКК</w:t>
            </w:r>
            <w:r w:rsidR="00781B8A">
              <w:rPr>
                <w:sz w:val="22"/>
                <w:szCs w:val="22"/>
                <w:lang w:eastAsia="ru-RU"/>
              </w:rPr>
              <w:t>,</w:t>
            </w:r>
            <w:r w:rsidRPr="00173655">
              <w:rPr>
                <w:sz w:val="22"/>
                <w:szCs w:val="22"/>
                <w:lang w:eastAsia="ru-RU"/>
              </w:rPr>
              <w:t xml:space="preserve"> м.</w:t>
            </w:r>
            <w:r w:rsidR="00781B8A">
              <w:rPr>
                <w:sz w:val="22"/>
                <w:szCs w:val="22"/>
                <w:lang w:eastAsia="ru-RU"/>
              </w:rPr>
              <w:t> </w:t>
            </w:r>
            <w:r w:rsidRPr="00173655">
              <w:rPr>
                <w:sz w:val="22"/>
                <w:szCs w:val="22"/>
                <w:lang w:eastAsia="ru-RU"/>
              </w:rPr>
              <w:t>Одеса, пл. Водопровідна, 1; управління КП</w:t>
            </w:r>
            <w:r w:rsidR="00781B8A">
              <w:rPr>
                <w:sz w:val="22"/>
                <w:szCs w:val="22"/>
                <w:lang w:eastAsia="ru-RU"/>
              </w:rPr>
              <w:t> «</w:t>
            </w:r>
            <w:r w:rsidRPr="00173655">
              <w:rPr>
                <w:sz w:val="22"/>
                <w:szCs w:val="22"/>
                <w:lang w:eastAsia="ru-RU"/>
              </w:rPr>
              <w:t>ОМЕТ</w:t>
            </w:r>
            <w:r w:rsidR="00781B8A">
              <w:rPr>
                <w:sz w:val="22"/>
                <w:szCs w:val="22"/>
                <w:lang w:eastAsia="ru-RU"/>
              </w:rPr>
              <w:t>»,</w:t>
            </w:r>
            <w:r w:rsidRPr="00173655">
              <w:rPr>
                <w:sz w:val="22"/>
                <w:szCs w:val="22"/>
                <w:lang w:eastAsia="ru-RU"/>
              </w:rPr>
              <w:t xml:space="preserve"> м. Одеса, пл. Водопровідна, 1; експлуатаційне трамвайне депо №</w:t>
            </w:r>
            <w:r w:rsidR="00781B8A">
              <w:rPr>
                <w:sz w:val="22"/>
                <w:szCs w:val="22"/>
                <w:lang w:eastAsia="ru-RU"/>
              </w:rPr>
              <w:t> </w:t>
            </w:r>
            <w:r w:rsidRPr="00173655">
              <w:rPr>
                <w:sz w:val="22"/>
                <w:szCs w:val="22"/>
                <w:lang w:eastAsia="ru-RU"/>
              </w:rPr>
              <w:t>1 м. Одеса, пл.</w:t>
            </w:r>
            <w:r w:rsidR="00781B8A">
              <w:rPr>
                <w:sz w:val="22"/>
                <w:szCs w:val="22"/>
                <w:lang w:eastAsia="ru-RU"/>
              </w:rPr>
              <w:t> </w:t>
            </w:r>
            <w:r w:rsidRPr="00173655">
              <w:rPr>
                <w:sz w:val="22"/>
                <w:szCs w:val="22"/>
                <w:lang w:eastAsia="ru-RU"/>
              </w:rPr>
              <w:t>Водопровідна, 1; експлуатаційне трамвайне  депо №</w:t>
            </w:r>
            <w:r w:rsidR="00781B8A">
              <w:rPr>
                <w:sz w:val="22"/>
                <w:szCs w:val="22"/>
                <w:lang w:eastAsia="ru-RU"/>
              </w:rPr>
              <w:t> </w:t>
            </w:r>
            <w:r w:rsidRPr="00173655">
              <w:rPr>
                <w:sz w:val="22"/>
                <w:szCs w:val="22"/>
                <w:lang w:eastAsia="ru-RU"/>
              </w:rPr>
              <w:t>2  м. Одеса, пров. 1-ий Польовий, 1; МСЧ м.</w:t>
            </w:r>
            <w:r w:rsidR="00781B8A">
              <w:rPr>
                <w:sz w:val="22"/>
                <w:szCs w:val="22"/>
                <w:lang w:eastAsia="ru-RU"/>
              </w:rPr>
              <w:t> </w:t>
            </w:r>
            <w:r w:rsidRPr="00173655">
              <w:rPr>
                <w:sz w:val="22"/>
                <w:szCs w:val="22"/>
                <w:lang w:eastAsia="ru-RU"/>
              </w:rPr>
              <w:t>Одеса, пров. Вознесенський, 23/1; тролейбусне депо м. Одеса, вул. Інглезі, 5/1; служба руху м.</w:t>
            </w:r>
            <w:r w:rsidR="00FE5C5E">
              <w:rPr>
                <w:sz w:val="22"/>
                <w:szCs w:val="22"/>
                <w:lang w:eastAsia="ru-RU"/>
              </w:rPr>
              <w:t> </w:t>
            </w:r>
            <w:r w:rsidRPr="00173655">
              <w:rPr>
                <w:sz w:val="22"/>
                <w:szCs w:val="22"/>
                <w:lang w:eastAsia="ru-RU"/>
              </w:rPr>
              <w:t>Одеса, вул. Водопровідна, 9</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FE5C5E">
            <w:pPr>
              <w:rPr>
                <w:sz w:val="22"/>
                <w:szCs w:val="22"/>
                <w:lang w:eastAsia="ru-RU"/>
              </w:rPr>
            </w:pPr>
            <w:r w:rsidRPr="00173655">
              <w:rPr>
                <w:sz w:val="22"/>
                <w:szCs w:val="22"/>
                <w:lang w:eastAsia="ru-RU"/>
              </w:rPr>
              <w:t xml:space="preserve">Усього, </w:t>
            </w:r>
            <w:r w:rsidR="00FE5C5E">
              <w:rPr>
                <w:sz w:val="22"/>
                <w:szCs w:val="22"/>
                <w:lang w:eastAsia="ru-RU"/>
              </w:rPr>
              <w:t>у</w:t>
            </w:r>
            <w:r w:rsidR="00FE5C5E" w:rsidRPr="00173655">
              <w:rPr>
                <w:sz w:val="22"/>
                <w:szCs w:val="22"/>
                <w:lang w:eastAsia="ru-RU"/>
              </w:rPr>
              <w:t xml:space="preserve"> </w:t>
            </w:r>
            <w:r w:rsidRPr="00173655">
              <w:rPr>
                <w:sz w:val="22"/>
                <w:szCs w:val="22"/>
                <w:lang w:eastAsia="ru-RU"/>
              </w:rPr>
              <w:t>т.</w:t>
            </w:r>
            <w:r w:rsidR="00FE5C5E">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w:t>
            </w:r>
            <w:r w:rsidR="00FE5C5E">
              <w:rPr>
                <w:sz w:val="22"/>
                <w:szCs w:val="22"/>
                <w:lang w:eastAsia="ru-RU"/>
              </w:rPr>
              <w:t xml:space="preserve"> </w:t>
            </w:r>
            <w:r w:rsidRPr="00173655">
              <w:rPr>
                <w:sz w:val="22"/>
                <w:szCs w:val="22"/>
                <w:lang w:eastAsia="ru-RU"/>
              </w:rPr>
              <w:t>948,4</w:t>
            </w:r>
          </w:p>
        </w:tc>
      </w:tr>
      <w:tr w:rsidR="00173655" w:rsidRPr="00173655" w:rsidTr="00CE041D">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кошти підприємства</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6</w:t>
            </w:r>
            <w:r w:rsidR="00FE5C5E">
              <w:rPr>
                <w:sz w:val="22"/>
                <w:szCs w:val="22"/>
                <w:lang w:eastAsia="ru-RU"/>
              </w:rPr>
              <w:t xml:space="preserve"> </w:t>
            </w:r>
            <w:r w:rsidRPr="00173655">
              <w:rPr>
                <w:sz w:val="22"/>
                <w:szCs w:val="22"/>
                <w:lang w:eastAsia="ru-RU"/>
              </w:rPr>
              <w:t>948,4</w:t>
            </w:r>
          </w:p>
        </w:tc>
      </w:tr>
      <w:tr w:rsidR="00173655" w:rsidRPr="00173655" w:rsidTr="00CE041D">
        <w:trPr>
          <w:trHeight w:val="255"/>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CE041D">
            <w:pPr>
              <w:ind w:firstLine="333"/>
              <w:rPr>
                <w:sz w:val="22"/>
                <w:szCs w:val="22"/>
                <w:lang w:eastAsia="ru-RU"/>
              </w:rPr>
            </w:pPr>
            <w:r w:rsidRPr="00173655">
              <w:rPr>
                <w:sz w:val="22"/>
                <w:szCs w:val="22"/>
                <w:lang w:eastAsia="ru-RU"/>
              </w:rPr>
              <w:t>Утримання та розвиток наземного електротранспорту (оплата праці, нарахування на оплату праці, оплата електроенергії, обслуговування зовнішніх боргових зобов’язань та інше)</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FE5C5E">
            <w:pPr>
              <w:rPr>
                <w:sz w:val="22"/>
                <w:szCs w:val="22"/>
                <w:lang w:eastAsia="ru-RU"/>
              </w:rPr>
            </w:pPr>
            <w:r w:rsidRPr="00173655">
              <w:rPr>
                <w:sz w:val="22"/>
                <w:szCs w:val="22"/>
                <w:lang w:eastAsia="ru-RU"/>
              </w:rPr>
              <w:t xml:space="preserve">Усього, </w:t>
            </w:r>
            <w:r w:rsidR="00FE5C5E">
              <w:rPr>
                <w:sz w:val="22"/>
                <w:szCs w:val="22"/>
                <w:lang w:eastAsia="ru-RU"/>
              </w:rPr>
              <w:t>у</w:t>
            </w:r>
            <w:r w:rsidR="00FE5C5E" w:rsidRPr="00173655">
              <w:rPr>
                <w:sz w:val="22"/>
                <w:szCs w:val="22"/>
                <w:lang w:eastAsia="ru-RU"/>
              </w:rPr>
              <w:t xml:space="preserve"> </w:t>
            </w:r>
            <w:r w:rsidRPr="00173655">
              <w:rPr>
                <w:sz w:val="22"/>
                <w:szCs w:val="22"/>
                <w:lang w:eastAsia="ru-RU"/>
              </w:rPr>
              <w:t>т.</w:t>
            </w:r>
            <w:r w:rsidR="00FE5C5E">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w:t>
            </w:r>
            <w:r w:rsidR="00FE5C5E">
              <w:rPr>
                <w:sz w:val="22"/>
                <w:szCs w:val="22"/>
                <w:lang w:eastAsia="ru-RU"/>
              </w:rPr>
              <w:t xml:space="preserve"> </w:t>
            </w:r>
            <w:r w:rsidRPr="00173655">
              <w:rPr>
                <w:sz w:val="22"/>
                <w:szCs w:val="22"/>
                <w:lang w:eastAsia="ru-RU"/>
              </w:rPr>
              <w:t>528</w:t>
            </w:r>
            <w:r w:rsidR="00FE5C5E">
              <w:rPr>
                <w:sz w:val="22"/>
                <w:szCs w:val="22"/>
                <w:lang w:eastAsia="ru-RU"/>
              </w:rPr>
              <w:t xml:space="preserve"> </w:t>
            </w:r>
            <w:r w:rsidRPr="00173655">
              <w:rPr>
                <w:sz w:val="22"/>
                <w:szCs w:val="22"/>
                <w:lang w:eastAsia="ru-RU"/>
              </w:rPr>
              <w:t>510,1</w:t>
            </w:r>
          </w:p>
        </w:tc>
      </w:tr>
      <w:tr w:rsidR="00173655" w:rsidRPr="00173655" w:rsidTr="00CE041D">
        <w:trPr>
          <w:trHeight w:val="7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4</w:t>
            </w:r>
            <w:r w:rsidR="00FE5C5E">
              <w:rPr>
                <w:sz w:val="22"/>
                <w:szCs w:val="22"/>
                <w:lang w:eastAsia="ru-RU"/>
              </w:rPr>
              <w:t xml:space="preserve"> </w:t>
            </w:r>
            <w:r w:rsidRPr="00173655">
              <w:rPr>
                <w:sz w:val="22"/>
                <w:szCs w:val="22"/>
                <w:lang w:eastAsia="ru-RU"/>
              </w:rPr>
              <w:t>528</w:t>
            </w:r>
            <w:r w:rsidR="00FE5C5E">
              <w:rPr>
                <w:sz w:val="22"/>
                <w:szCs w:val="22"/>
                <w:lang w:eastAsia="ru-RU"/>
              </w:rPr>
              <w:t xml:space="preserve"> </w:t>
            </w:r>
            <w:r w:rsidRPr="00173655">
              <w:rPr>
                <w:sz w:val="22"/>
                <w:szCs w:val="22"/>
                <w:lang w:eastAsia="ru-RU"/>
              </w:rPr>
              <w:t>510,1</w:t>
            </w:r>
          </w:p>
        </w:tc>
      </w:tr>
      <w:tr w:rsidR="00173655" w:rsidRPr="00173655" w:rsidTr="00CE041D">
        <w:trPr>
          <w:trHeight w:val="491"/>
        </w:trPr>
        <w:tc>
          <w:tcPr>
            <w:tcW w:w="4977" w:type="dxa"/>
            <w:vMerge w:val="restart"/>
            <w:tcBorders>
              <w:top w:val="single" w:sz="4" w:space="0" w:color="auto"/>
              <w:left w:val="single" w:sz="4" w:space="0" w:color="auto"/>
              <w:bottom w:val="single" w:sz="4" w:space="0" w:color="auto"/>
              <w:right w:val="single" w:sz="4" w:space="0" w:color="auto"/>
            </w:tcBorders>
            <w:hideMark/>
          </w:tcPr>
          <w:p w:rsidR="00173655" w:rsidRPr="00173655" w:rsidRDefault="00173655" w:rsidP="000E099B">
            <w:pPr>
              <w:ind w:firstLine="333"/>
              <w:rPr>
                <w:sz w:val="22"/>
                <w:szCs w:val="22"/>
                <w:lang w:eastAsia="ru-RU"/>
              </w:rPr>
            </w:pPr>
            <w:r w:rsidRPr="00173655">
              <w:rPr>
                <w:sz w:val="22"/>
                <w:szCs w:val="22"/>
                <w:lang w:eastAsia="ru-RU"/>
              </w:rPr>
              <w:t>Поповнення статутного капіталу (для виконання фінансових зобов</w:t>
            </w:r>
            <w:r w:rsidR="000E099B">
              <w:rPr>
                <w:sz w:val="22"/>
                <w:szCs w:val="22"/>
                <w:lang w:eastAsia="ru-RU"/>
              </w:rPr>
              <w:t>’</w:t>
            </w:r>
            <w:r w:rsidRPr="00173655">
              <w:rPr>
                <w:sz w:val="22"/>
                <w:szCs w:val="22"/>
                <w:lang w:eastAsia="ru-RU"/>
              </w:rPr>
              <w:t>язань за кредитним договором з ЄБРР</w:t>
            </w: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FE5C5E">
            <w:pPr>
              <w:rPr>
                <w:sz w:val="22"/>
                <w:szCs w:val="22"/>
                <w:lang w:eastAsia="ru-RU"/>
              </w:rPr>
            </w:pPr>
            <w:r w:rsidRPr="00173655">
              <w:rPr>
                <w:sz w:val="22"/>
                <w:szCs w:val="22"/>
                <w:lang w:eastAsia="ru-RU"/>
              </w:rPr>
              <w:t xml:space="preserve">Усього, </w:t>
            </w:r>
            <w:r w:rsidR="00FE5C5E">
              <w:rPr>
                <w:sz w:val="22"/>
                <w:szCs w:val="22"/>
                <w:lang w:eastAsia="ru-RU"/>
              </w:rPr>
              <w:t>у</w:t>
            </w:r>
            <w:r w:rsidR="00FE5C5E" w:rsidRPr="00173655">
              <w:rPr>
                <w:sz w:val="22"/>
                <w:szCs w:val="22"/>
                <w:lang w:eastAsia="ru-RU"/>
              </w:rPr>
              <w:t xml:space="preserve"> </w:t>
            </w:r>
            <w:r w:rsidRPr="00173655">
              <w:rPr>
                <w:sz w:val="22"/>
                <w:szCs w:val="22"/>
                <w:lang w:eastAsia="ru-RU"/>
              </w:rPr>
              <w:t>т.</w:t>
            </w:r>
            <w:r w:rsidR="00FE5C5E">
              <w:rPr>
                <w:sz w:val="22"/>
                <w:szCs w:val="22"/>
                <w:lang w:eastAsia="ru-RU"/>
              </w:rPr>
              <w:t xml:space="preserve"> </w:t>
            </w:r>
            <w:r w:rsidRPr="00173655">
              <w:rPr>
                <w:sz w:val="22"/>
                <w:szCs w:val="22"/>
                <w:lang w:eastAsia="ru-RU"/>
              </w:rPr>
              <w:t>ч.:</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118</w:t>
            </w:r>
            <w:r w:rsidR="00FE5C5E">
              <w:rPr>
                <w:sz w:val="22"/>
                <w:szCs w:val="22"/>
                <w:lang w:eastAsia="ru-RU"/>
              </w:rPr>
              <w:t xml:space="preserve"> </w:t>
            </w:r>
            <w:r w:rsidRPr="00173655">
              <w:rPr>
                <w:sz w:val="22"/>
                <w:szCs w:val="22"/>
                <w:lang w:eastAsia="ru-RU"/>
              </w:rPr>
              <w:t>400</w:t>
            </w:r>
          </w:p>
        </w:tc>
      </w:tr>
      <w:tr w:rsidR="00173655" w:rsidRPr="00173655" w:rsidTr="00CE04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3655" w:rsidRPr="00173655" w:rsidRDefault="00173655" w:rsidP="00CE041D">
            <w:pPr>
              <w:rPr>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vAlign w:val="bottom"/>
            <w:hideMark/>
          </w:tcPr>
          <w:p w:rsidR="00173655" w:rsidRPr="00173655" w:rsidRDefault="00173655" w:rsidP="00CE041D">
            <w:pPr>
              <w:rPr>
                <w:sz w:val="22"/>
                <w:szCs w:val="22"/>
                <w:lang w:eastAsia="ru-RU"/>
              </w:rPr>
            </w:pPr>
            <w:r w:rsidRPr="00173655">
              <w:rPr>
                <w:sz w:val="22"/>
                <w:szCs w:val="22"/>
                <w:lang w:eastAsia="ru-RU"/>
              </w:rPr>
              <w:t>бюджет м. Одеси</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173655" w:rsidRPr="00173655" w:rsidRDefault="00173655" w:rsidP="00CE041D">
            <w:pPr>
              <w:jc w:val="center"/>
              <w:rPr>
                <w:sz w:val="22"/>
                <w:szCs w:val="22"/>
                <w:lang w:eastAsia="ru-RU"/>
              </w:rPr>
            </w:pPr>
            <w:r w:rsidRPr="00173655">
              <w:rPr>
                <w:sz w:val="22"/>
                <w:szCs w:val="22"/>
                <w:lang w:eastAsia="ru-RU"/>
              </w:rPr>
              <w:t>118</w:t>
            </w:r>
            <w:r w:rsidR="00FE5C5E">
              <w:rPr>
                <w:sz w:val="22"/>
                <w:szCs w:val="22"/>
                <w:lang w:eastAsia="ru-RU"/>
              </w:rPr>
              <w:t xml:space="preserve"> </w:t>
            </w:r>
            <w:r w:rsidRPr="00173655">
              <w:rPr>
                <w:sz w:val="22"/>
                <w:szCs w:val="22"/>
                <w:lang w:eastAsia="ru-RU"/>
              </w:rPr>
              <w:t>400</w:t>
            </w:r>
          </w:p>
        </w:tc>
      </w:tr>
    </w:tbl>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426" w:hanging="426"/>
        <w:jc w:val="both"/>
      </w:pPr>
      <w:r w:rsidRPr="00173655">
        <w:t xml:space="preserve">Капітальні видатки згідно </w:t>
      </w:r>
      <w:r w:rsidR="000E099B">
        <w:t xml:space="preserve">з </w:t>
      </w:r>
      <w:r w:rsidRPr="00173655">
        <w:t>про</w:t>
      </w:r>
      <w:r w:rsidR="000E099B">
        <w:t>є</w:t>
      </w:r>
      <w:r w:rsidRPr="00173655">
        <w:t>кт</w:t>
      </w:r>
      <w:r w:rsidR="000E099B">
        <w:t>ом</w:t>
      </w:r>
      <w:r w:rsidRPr="00173655">
        <w:t xml:space="preserve"> Міської цільової програми розвитку міського електричного транспорту м. Одеси на 2022-2026 роки проводяться виключно за результатами конкурсних торгів через систему «Прозоро», за результатами яких укладаються відповідні договори, реєструються в органі державної казначейської служби, далі формується заявка на фінансування та проводиться оплата </w:t>
      </w:r>
      <w:r w:rsidR="000E099B">
        <w:t>за</w:t>
      </w:r>
      <w:r w:rsidR="000E099B" w:rsidRPr="00173655">
        <w:t xml:space="preserve"> </w:t>
      </w:r>
      <w:r w:rsidRPr="00173655">
        <w:t>виставлени</w:t>
      </w:r>
      <w:r w:rsidR="000E099B">
        <w:t>ми</w:t>
      </w:r>
      <w:r w:rsidRPr="00173655">
        <w:t xml:space="preserve"> рахунк</w:t>
      </w:r>
      <w:r w:rsidR="000E099B">
        <w:t>ами</w:t>
      </w:r>
      <w:r w:rsidRPr="00173655">
        <w:t>.</w:t>
      </w:r>
    </w:p>
    <w:p w:rsidR="00173655" w:rsidRPr="00173655" w:rsidRDefault="00173655" w:rsidP="00173655">
      <w:pPr>
        <w:ind w:left="426"/>
        <w:jc w:val="both"/>
      </w:pPr>
    </w:p>
    <w:p w:rsidR="00173655" w:rsidRPr="00173655" w:rsidRDefault="00173655" w:rsidP="00173655">
      <w:pPr>
        <w:numPr>
          <w:ilvl w:val="0"/>
          <w:numId w:val="35"/>
        </w:numPr>
        <w:tabs>
          <w:tab w:val="clear" w:pos="-180"/>
          <w:tab w:val="num" w:pos="-360"/>
        </w:tabs>
        <w:ind w:left="426" w:hanging="426"/>
        <w:jc w:val="both"/>
      </w:pPr>
      <w:r w:rsidRPr="00173655">
        <w:t xml:space="preserve">Заходи, зазначені в Програмі розвитку міського електротранспорту, погоджуються з відповідними виконавчими органами в межах їх компетенції. </w:t>
      </w:r>
    </w:p>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426" w:hanging="426"/>
        <w:jc w:val="both"/>
      </w:pPr>
      <w:r w:rsidRPr="00173655">
        <w:t>Річний план використання бюджетних коштів затверджується в межах бюджетних призначень на поточний рік.</w:t>
      </w:r>
    </w:p>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426" w:hanging="426"/>
        <w:jc w:val="both"/>
      </w:pPr>
      <w:r w:rsidRPr="00173655">
        <w:t xml:space="preserve">За інформацією </w:t>
      </w:r>
      <w:r w:rsidR="004F5E87">
        <w:t>н</w:t>
      </w:r>
      <w:r w:rsidRPr="00173655">
        <w:t>адавача, у КП «Одесміськелектротранс» відсутні в достатній кількості власні кошти для реалізації заходів без залучення державної підтримки.</w:t>
      </w:r>
    </w:p>
    <w:p w:rsidR="00173655" w:rsidRPr="00173655" w:rsidRDefault="00173655" w:rsidP="00173655">
      <w:pPr>
        <w:jc w:val="both"/>
      </w:pPr>
    </w:p>
    <w:p w:rsidR="00173655" w:rsidRPr="00173655" w:rsidRDefault="00173655" w:rsidP="00173655">
      <w:pPr>
        <w:numPr>
          <w:ilvl w:val="0"/>
          <w:numId w:val="35"/>
        </w:numPr>
        <w:tabs>
          <w:tab w:val="clear" w:pos="-180"/>
          <w:tab w:val="num" w:pos="-360"/>
        </w:tabs>
        <w:ind w:left="426" w:hanging="426"/>
        <w:jc w:val="both"/>
      </w:pPr>
      <w:r w:rsidRPr="00173655">
        <w:t>Так</w:t>
      </w:r>
      <w:r w:rsidR="004F5E87">
        <w:t>,</w:t>
      </w:r>
      <w:r w:rsidRPr="00173655">
        <w:t xml:space="preserve"> на період введеного по всій території України карантину (постанова Кабінету </w:t>
      </w:r>
      <w:r w:rsidR="004F5E87">
        <w:t>М</w:t>
      </w:r>
      <w:r w:rsidRPr="00173655">
        <w:t xml:space="preserve">іністрів України від 11 березня 2020 р. № 211 (зі змінами), більша частина підприємств </w:t>
      </w:r>
      <w:r w:rsidRPr="00173655">
        <w:lastRenderedPageBreak/>
        <w:t>м</w:t>
      </w:r>
      <w:r w:rsidR="004F5E87">
        <w:t>іста</w:t>
      </w:r>
      <w:r w:rsidRPr="00173655">
        <w:t xml:space="preserve"> Одеси призупинила свою діяльність, однак КП</w:t>
      </w:r>
      <w:r w:rsidR="002F07A8">
        <w:t> </w:t>
      </w:r>
      <w:r w:rsidRPr="00173655">
        <w:t>«Одесміськелектротранс», як стратегічно важливе для життєдіяльності міста підприємство, продовжило свою роботу в посиленому режимі, але з обмеженнями щодо кількості перевезення пасажирів</w:t>
      </w:r>
      <w:r w:rsidR="004F5E87">
        <w:t>.</w:t>
      </w:r>
      <w:r w:rsidRPr="00173655">
        <w:t xml:space="preserve"> Такі обмеження призвели до істотного </w:t>
      </w:r>
      <w:r w:rsidR="004F5E87">
        <w:t>зниження</w:t>
      </w:r>
      <w:r w:rsidR="004F5E87" w:rsidRPr="00173655">
        <w:t xml:space="preserve"> </w:t>
      </w:r>
      <w:r w:rsidRPr="00173655">
        <w:t>лінійної виручки КП «Одесміськелектротранс».</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426" w:hanging="426"/>
        <w:jc w:val="both"/>
      </w:pPr>
      <w:r w:rsidRPr="00173655">
        <w:t>Крім того</w:t>
      </w:r>
      <w:r w:rsidR="004F5E87">
        <w:t>,</w:t>
      </w:r>
      <w:r w:rsidRPr="00173655">
        <w:t xml:space="preserve"> на фінансовий результат підприємства</w:t>
      </w:r>
      <w:r w:rsidR="004F5E87">
        <w:t>,</w:t>
      </w:r>
      <w:r w:rsidRPr="00173655">
        <w:t xml:space="preserve"> крім іншого, безпосередній вплив має коливання курсових різниць на суми кредитних зобов’язань в іноземній валюті за кредитним договором</w:t>
      </w:r>
      <w:r w:rsidR="004F5E87">
        <w:t>,</w:t>
      </w:r>
      <w:r w:rsidRPr="00173655">
        <w:t xml:space="preserve"> укладеним між Європейським банком реконструкції та розвитку та комунальним підприємством «Одесміськелектротранс» від 21 жовтня 2015 року, на суму 8 млн євро.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426" w:hanging="426"/>
        <w:jc w:val="both"/>
      </w:pPr>
      <w:r w:rsidRPr="00173655">
        <w:t xml:space="preserve">Впродовж 2020 року курс євро зростав (на 31.12.2020 курс євро </w:t>
      </w:r>
      <w:r w:rsidR="004F5E87">
        <w:t>становив</w:t>
      </w:r>
      <w:r w:rsidR="004F5E87" w:rsidRPr="00173655">
        <w:t xml:space="preserve"> </w:t>
      </w:r>
      <w:r w:rsidRPr="00173655">
        <w:t>34,7396</w:t>
      </w:r>
      <w:r w:rsidR="004F5E87">
        <w:t xml:space="preserve"> </w:t>
      </w:r>
      <w:r w:rsidRPr="00173655">
        <w:t xml:space="preserve">грн), що призвело до </w:t>
      </w:r>
      <w:r w:rsidR="004F5E87">
        <w:t>таких</w:t>
      </w:r>
      <w:r w:rsidR="004F5E87" w:rsidRPr="00173655">
        <w:t xml:space="preserve"> </w:t>
      </w:r>
      <w:r w:rsidRPr="00173655">
        <w:t xml:space="preserve">показників курсових різниць: </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від’ємне значення – 63 986,6 тис. грн;</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позитивне значення – 6 879,6 тис. грн.</w:t>
      </w:r>
    </w:p>
    <w:p w:rsidR="00173655" w:rsidRPr="00173655" w:rsidRDefault="00173655" w:rsidP="00173655">
      <w:pPr>
        <w:ind w:left="426"/>
        <w:jc w:val="both"/>
      </w:pPr>
    </w:p>
    <w:p w:rsidR="00173655" w:rsidRPr="00173655" w:rsidRDefault="00173655" w:rsidP="00173655">
      <w:pPr>
        <w:numPr>
          <w:ilvl w:val="0"/>
          <w:numId w:val="35"/>
        </w:numPr>
        <w:tabs>
          <w:tab w:val="clear" w:pos="-180"/>
          <w:tab w:val="num" w:pos="-360"/>
        </w:tabs>
        <w:ind w:left="426" w:hanging="426"/>
        <w:jc w:val="both"/>
      </w:pPr>
      <w:r w:rsidRPr="00173655">
        <w:t xml:space="preserve">Згідно з фінансовою звітністю за 2020 рік збиток від фінансової діяльності </w:t>
      </w:r>
      <w:r w:rsidR="004F5E87">
        <w:t>становив</w:t>
      </w:r>
      <w:r w:rsidRPr="00173655">
        <w:t xml:space="preserve"> 57 107 тис. грн, збиток від господарської діяльності – 18 617 тис. грн. </w:t>
      </w:r>
    </w:p>
    <w:p w:rsidR="00173655" w:rsidRPr="00173655" w:rsidRDefault="00173655" w:rsidP="00173655">
      <w:pPr>
        <w:ind w:left="426"/>
        <w:jc w:val="both"/>
      </w:pPr>
    </w:p>
    <w:p w:rsidR="00173655" w:rsidRPr="00173655" w:rsidRDefault="00173655" w:rsidP="00173655">
      <w:pPr>
        <w:numPr>
          <w:ilvl w:val="0"/>
          <w:numId w:val="35"/>
        </w:numPr>
        <w:tabs>
          <w:tab w:val="clear" w:pos="-180"/>
          <w:tab w:val="num" w:pos="-360"/>
        </w:tabs>
        <w:ind w:left="426" w:hanging="426"/>
        <w:jc w:val="both"/>
      </w:pPr>
      <w:r w:rsidRPr="00173655">
        <w:t>Враховуючи викладене, з урахуванням об’єктивних обставин, загальний фінансовий результат КП «Одесміськелектротранс» за 2020 рік становив 75 724 тис. грн збитку, з яких 75</w:t>
      </w:r>
      <w:r w:rsidR="00A803AC">
        <w:t> </w:t>
      </w:r>
      <w:r w:rsidRPr="00173655">
        <w:t xml:space="preserve">% </w:t>
      </w:r>
      <w:r w:rsidR="00A803AC">
        <w:t>становлять</w:t>
      </w:r>
      <w:r w:rsidR="00A803AC" w:rsidRPr="00173655">
        <w:t xml:space="preserve"> </w:t>
      </w:r>
      <w:r w:rsidRPr="00173655">
        <w:t>втрати від курсових різниць; 25</w:t>
      </w:r>
      <w:r w:rsidR="00A803AC">
        <w:t> </w:t>
      </w:r>
      <w:r w:rsidRPr="00173655">
        <w:t xml:space="preserve">% – від перевезення пасажирів.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s>
        <w:ind w:left="426" w:hanging="426"/>
        <w:jc w:val="both"/>
      </w:pPr>
      <w:r w:rsidRPr="00173655">
        <w:t xml:space="preserve">Комунальне підприємство «Одесміськелектротранс» – одне з найбільш важливих підприємств міста, яке надає транспортні послуги </w:t>
      </w:r>
      <w:r w:rsidR="00A803AC">
        <w:t>з</w:t>
      </w:r>
      <w:r w:rsidR="00A803AC" w:rsidRPr="00173655">
        <w:t xml:space="preserve"> </w:t>
      </w:r>
      <w:r w:rsidRPr="00173655">
        <w:t>перевезенн</w:t>
      </w:r>
      <w:r w:rsidR="00A803AC">
        <w:t>я</w:t>
      </w:r>
      <w:r w:rsidRPr="00173655">
        <w:t xml:space="preserve"> пасажирів </w:t>
      </w:r>
      <w:r w:rsidR="00A803AC">
        <w:t>у</w:t>
      </w:r>
      <w:r w:rsidR="00A803AC" w:rsidRPr="00173655">
        <w:t xml:space="preserve"> </w:t>
      </w:r>
      <w:r w:rsidRPr="00173655">
        <w:t>місті Одес</w:t>
      </w:r>
      <w:r w:rsidR="00A803AC">
        <w:t>і,</w:t>
      </w:r>
      <w:r w:rsidRPr="00173655">
        <w:t xml:space="preserve"> перевоз</w:t>
      </w:r>
      <w:r w:rsidR="00A803AC">
        <w:t>ить</w:t>
      </w:r>
      <w:r w:rsidRPr="00173655">
        <w:t xml:space="preserve"> усі пільгові категорії громадян, яким чинним законодавством України надано право безкоштовного проїзду.</w:t>
      </w:r>
    </w:p>
    <w:p w:rsidR="00173655" w:rsidRPr="00173655" w:rsidRDefault="00173655" w:rsidP="00173655">
      <w:pPr>
        <w:ind w:firstLine="567"/>
        <w:jc w:val="both"/>
      </w:pPr>
    </w:p>
    <w:p w:rsidR="00173655" w:rsidRPr="00173655" w:rsidRDefault="00173655" w:rsidP="00173655">
      <w:pPr>
        <w:numPr>
          <w:ilvl w:val="0"/>
          <w:numId w:val="33"/>
        </w:numPr>
        <w:tabs>
          <w:tab w:val="left" w:pos="567"/>
        </w:tabs>
        <w:ind w:left="567" w:hanging="567"/>
        <w:contextualSpacing/>
        <w:rPr>
          <w:b/>
        </w:rPr>
      </w:pPr>
      <w:r w:rsidRPr="00173655">
        <w:rPr>
          <w:b/>
        </w:rPr>
        <w:t>НОРМАТИВНО-ПРАВОВЕ РЕГУЛЮВАННЯ</w:t>
      </w:r>
      <w:r w:rsidRPr="00173655">
        <w:rPr>
          <w:b/>
        </w:rPr>
        <w:tab/>
      </w:r>
    </w:p>
    <w:p w:rsidR="00173655" w:rsidRPr="00173655" w:rsidRDefault="00173655" w:rsidP="00173655">
      <w:pPr>
        <w:shd w:val="clear" w:color="auto" w:fill="FFFFFF"/>
        <w:ind w:left="426"/>
        <w:contextualSpacing/>
        <w:jc w:val="both"/>
        <w:rPr>
          <w:b/>
          <w:highlight w:val="yellow"/>
        </w:rPr>
      </w:pPr>
    </w:p>
    <w:p w:rsidR="00173655" w:rsidRPr="00173655" w:rsidRDefault="00173655" w:rsidP="00173655">
      <w:pPr>
        <w:numPr>
          <w:ilvl w:val="1"/>
          <w:numId w:val="33"/>
        </w:numPr>
        <w:ind w:left="567" w:hanging="567"/>
        <w:contextualSpacing/>
        <w:jc w:val="both"/>
        <w:rPr>
          <w:b/>
          <w:color w:val="000000"/>
          <w:lang w:eastAsia="ru-RU"/>
        </w:rPr>
      </w:pPr>
      <w:bookmarkStart w:id="9" w:name="_Hlk68364984"/>
      <w:r w:rsidRPr="00173655">
        <w:rPr>
          <w:b/>
          <w:color w:val="000000"/>
          <w:lang w:eastAsia="ru-RU"/>
        </w:rPr>
        <w:t xml:space="preserve"> Щодо державної допомоги</w:t>
      </w:r>
    </w:p>
    <w:p w:rsidR="00173655" w:rsidRPr="00173655" w:rsidRDefault="00173655" w:rsidP="00173655">
      <w:pPr>
        <w:ind w:left="567" w:hanging="567"/>
        <w:contextualSpacing/>
        <w:jc w:val="both"/>
        <w:rPr>
          <w:rFonts w:eastAsia="Calibri"/>
          <w:color w:val="000000"/>
          <w:lang w:eastAsia="en-US"/>
        </w:rPr>
      </w:pPr>
    </w:p>
    <w:p w:rsidR="00173655" w:rsidRPr="00173655" w:rsidRDefault="00173655" w:rsidP="00173655">
      <w:pPr>
        <w:numPr>
          <w:ilvl w:val="0"/>
          <w:numId w:val="35"/>
        </w:numPr>
        <w:tabs>
          <w:tab w:val="clear" w:pos="-180"/>
          <w:tab w:val="num" w:pos="-360"/>
        </w:tabs>
        <w:ind w:left="426" w:hanging="426"/>
        <w:jc w:val="both"/>
        <w:rPr>
          <w:rFonts w:eastAsia="Calibri"/>
          <w:color w:val="000000"/>
          <w:lang w:eastAsia="en-US"/>
        </w:rPr>
      </w:pPr>
      <w:r w:rsidRPr="00173655">
        <w:t>Відповідно</w:t>
      </w:r>
      <w:r w:rsidRPr="00173655">
        <w:rPr>
          <w:rFonts w:eastAsia="Calibri"/>
          <w:color w:val="000000"/>
          <w:lang w:eastAsia="en-US"/>
        </w:rPr>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73655" w:rsidRPr="00173655" w:rsidRDefault="00173655" w:rsidP="00173655">
      <w:pPr>
        <w:ind w:left="567"/>
        <w:jc w:val="both"/>
        <w:rPr>
          <w:rFonts w:eastAsia="Calibri"/>
          <w:color w:val="000000"/>
          <w:lang w:eastAsia="en-US"/>
        </w:rPr>
      </w:pPr>
    </w:p>
    <w:p w:rsidR="00173655" w:rsidRPr="00173655" w:rsidRDefault="00173655" w:rsidP="00173655">
      <w:pPr>
        <w:numPr>
          <w:ilvl w:val="0"/>
          <w:numId w:val="35"/>
        </w:numPr>
        <w:tabs>
          <w:tab w:val="clear" w:pos="-180"/>
          <w:tab w:val="num" w:pos="-360"/>
        </w:tabs>
        <w:ind w:left="426" w:hanging="426"/>
        <w:jc w:val="both"/>
        <w:rPr>
          <w:rFonts w:eastAsia="Calibri"/>
          <w:color w:val="000000"/>
          <w:lang w:eastAsia="en-US"/>
        </w:rPr>
      </w:pPr>
      <w:r w:rsidRPr="00173655">
        <w:rPr>
          <w:rFonts w:eastAsia="Calibri"/>
          <w:color w:val="000000"/>
          <w:lang w:eastAsia="en-US"/>
        </w:rPr>
        <w:t>Отже, державна підтримка є державною допомогою, якщо одночасно виконуються такі умови:</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підтримка надається суб’єкту господарювання;</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державна підтримка здійснюється за рахунок ресурсів держави чи місцевих ресурсів;</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підтримка створює переваги для виробництва окремих видів товарів чи провадження окремих видів господарської діяльності;</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підтримка спотворює або загрожує спотворенням економічної конкуренції.</w:t>
      </w:r>
    </w:p>
    <w:p w:rsidR="00173655" w:rsidRPr="00173655" w:rsidRDefault="00173655" w:rsidP="00173655">
      <w:pPr>
        <w:ind w:left="426"/>
        <w:jc w:val="both"/>
        <w:rPr>
          <w:rFonts w:eastAsia="Calibri"/>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lang w:eastAsia="en-US"/>
        </w:rPr>
      </w:pPr>
      <w:r w:rsidRPr="00173655">
        <w:rPr>
          <w:rFonts w:eastAsia="Calibri"/>
          <w:color w:val="000000"/>
          <w:lang w:eastAsia="en-US"/>
        </w:rPr>
        <w:t>Згідно з пунктом 18 частини першої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173655" w:rsidRPr="00173655" w:rsidRDefault="00173655" w:rsidP="00173655">
      <w:pPr>
        <w:ind w:left="426"/>
        <w:jc w:val="both"/>
        <w:rPr>
          <w:rFonts w:eastAsia="Calibri"/>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lang w:eastAsia="en-US"/>
        </w:rPr>
      </w:pPr>
      <w:r w:rsidRPr="00173655">
        <w:rPr>
          <w:rFonts w:eastAsia="Calibri"/>
          <w:color w:val="000000"/>
          <w:lang w:eastAsia="en-US"/>
        </w:rPr>
        <w:t>Відповідно до частини першої статті 2 Закону державна допомога є недопустимою для конкуренції, якщо інше не встановлено цим Законом.</w:t>
      </w:r>
    </w:p>
    <w:p w:rsidR="00173655" w:rsidRPr="00173655" w:rsidRDefault="00173655" w:rsidP="00173655">
      <w:pPr>
        <w:jc w:val="both"/>
        <w:rPr>
          <w:rFonts w:eastAsia="Calibri"/>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pPr>
      <w:r w:rsidRPr="00173655">
        <w:rPr>
          <w:rFonts w:eastAsia="Calibri"/>
          <w:color w:val="000000"/>
          <w:lang w:eastAsia="en-US"/>
        </w:rPr>
        <w:t>Відповідно до частини першої статті 6 Закону державна допомога може бути визнана допустимою, якщ</w:t>
      </w:r>
      <w:r w:rsidRPr="00173655">
        <w:t>о вона надається, зокрема, для цілі сприяння соціально-економічному розвитку регіонів, рівень життя в яких є низьким або рівень безробіття є високим.</w:t>
      </w:r>
    </w:p>
    <w:p w:rsidR="00173655" w:rsidRPr="00173655" w:rsidRDefault="00173655" w:rsidP="00173655">
      <w:pPr>
        <w:jc w:val="both"/>
      </w:pPr>
    </w:p>
    <w:p w:rsidR="00173655" w:rsidRPr="00173655" w:rsidRDefault="00173655" w:rsidP="00173655">
      <w:pPr>
        <w:numPr>
          <w:ilvl w:val="0"/>
          <w:numId w:val="35"/>
        </w:numPr>
        <w:tabs>
          <w:tab w:val="clear" w:pos="-180"/>
          <w:tab w:val="num" w:pos="-360"/>
          <w:tab w:val="num" w:pos="360"/>
        </w:tabs>
        <w:ind w:left="426" w:hanging="426"/>
        <w:jc w:val="both"/>
      </w:pPr>
      <w:r w:rsidRPr="00173655">
        <w:rPr>
          <w:rFonts w:eastAsia="Calibri"/>
          <w:color w:val="000000"/>
          <w:lang w:eastAsia="en-US"/>
        </w:rPr>
        <w:t>Відповідно</w:t>
      </w:r>
      <w:r w:rsidRPr="00173655">
        <w:t xml:space="preserve"> до пункту 10 частини першої статті 1 Закону </w:t>
      </w:r>
      <w:r w:rsidRPr="00173655">
        <w:rPr>
          <w:shd w:val="clear" w:color="auto" w:fill="FFFFFF"/>
          <w:lang w:eastAsia="ru-RU"/>
        </w:rPr>
        <w:t xml:space="preserve">неналежне використання державної допомоги </w:t>
      </w:r>
      <w:r w:rsidRPr="00173655">
        <w:rPr>
          <w:color w:val="000000"/>
          <w:lang w:eastAsia="ru-RU"/>
        </w:rPr>
        <w:t>–</w:t>
      </w:r>
      <w:r w:rsidRPr="00173655">
        <w:rPr>
          <w:shd w:val="clear" w:color="auto" w:fill="FFFFFF"/>
          <w:lang w:eastAsia="ru-RU"/>
        </w:rPr>
        <w:t xml:space="preserve"> будь-яке використання державної допомоги її отримувачем, що суперечить рішенню Уповноваженого органу про допустимість такої допомоги для конкуренції.</w:t>
      </w:r>
    </w:p>
    <w:p w:rsidR="00173655" w:rsidRPr="00173655" w:rsidRDefault="00173655" w:rsidP="00173655">
      <w:pPr>
        <w:ind w:left="567"/>
        <w:jc w:val="both"/>
      </w:pPr>
    </w:p>
    <w:p w:rsidR="00173655" w:rsidRPr="00173655" w:rsidRDefault="00173655" w:rsidP="00173655">
      <w:pPr>
        <w:numPr>
          <w:ilvl w:val="1"/>
          <w:numId w:val="33"/>
        </w:numPr>
        <w:ind w:left="567" w:hanging="567"/>
        <w:contextualSpacing/>
        <w:jc w:val="both"/>
        <w:rPr>
          <w:b/>
          <w:color w:val="000000"/>
        </w:rPr>
      </w:pPr>
      <w:r w:rsidRPr="00173655">
        <w:rPr>
          <w:b/>
          <w:color w:val="000000"/>
        </w:rPr>
        <w:t>Послуги, що становлять загальний економічний інтерес</w:t>
      </w:r>
    </w:p>
    <w:p w:rsidR="00173655" w:rsidRPr="00173655" w:rsidRDefault="00173655" w:rsidP="00173655">
      <w:pPr>
        <w:ind w:left="567"/>
        <w:contextualSpacing/>
        <w:jc w:val="both"/>
        <w:rPr>
          <w:b/>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 xml:space="preserve">Згідно з </w:t>
      </w:r>
      <w:r w:rsidRPr="00173655">
        <w:rPr>
          <w:rFonts w:eastAsia="Calibri"/>
          <w:color w:val="000000"/>
          <w:lang w:eastAsia="en-US"/>
        </w:rPr>
        <w:t>пунктом</w:t>
      </w:r>
      <w:r w:rsidRPr="00173655">
        <w:rPr>
          <w:rFonts w:eastAsia="Calibri"/>
          <w:color w:val="000000"/>
        </w:rPr>
        <w:t xml:space="preserve">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173655" w:rsidRPr="00173655" w:rsidRDefault="00173655" w:rsidP="00173655">
      <w:pPr>
        <w:tabs>
          <w:tab w:val="left" w:pos="567"/>
        </w:tabs>
        <w:spacing w:after="200"/>
        <w:ind w:left="567" w:hanging="567"/>
        <w:contextualSpacing/>
        <w:jc w:val="both"/>
        <w:rPr>
          <w:rFonts w:eastAsia="Calibri"/>
          <w:color w:val="000000"/>
        </w:rPr>
      </w:pPr>
      <w:r w:rsidRPr="00173655">
        <w:rPr>
          <w:rFonts w:eastAsia="Calibri"/>
          <w:color w:val="000000"/>
        </w:rPr>
        <w:t xml:space="preserve"> </w:t>
      </w: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173655" w:rsidRPr="00173655" w:rsidRDefault="00173655" w:rsidP="00173655">
      <w:pPr>
        <w:tabs>
          <w:tab w:val="left" w:pos="567"/>
        </w:tabs>
        <w:ind w:left="567"/>
        <w:contextualSpacing/>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73655" w:rsidRPr="00173655" w:rsidRDefault="00173655" w:rsidP="00173655">
      <w:pPr>
        <w:tabs>
          <w:tab w:val="left" w:pos="567"/>
        </w:tabs>
        <w:ind w:left="567"/>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173655" w:rsidRPr="00173655" w:rsidRDefault="00173655" w:rsidP="00173655">
      <w:pPr>
        <w:tabs>
          <w:tab w:val="left" w:pos="567"/>
        </w:tabs>
        <w:ind w:left="567"/>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0" w:name="n1842"/>
      <w:bookmarkEnd w:id="10"/>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 xml:space="preserve">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w:t>
      </w:r>
      <w:r w:rsidRPr="00173655">
        <w:rPr>
          <w:rFonts w:eastAsia="Calibri"/>
          <w:color w:val="000000"/>
          <w:lang w:eastAsia="en-US"/>
        </w:rPr>
        <w:lastRenderedPageBreak/>
        <w:t>витрати та доходи, пов’язані з кожним іншим окремим товаром або послугою, щодо яких підприємство здійснює діяльність;</w:t>
      </w:r>
      <w:bookmarkStart w:id="11" w:name="n1843"/>
      <w:bookmarkEnd w:id="11"/>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173655" w:rsidRPr="00173655" w:rsidRDefault="00173655" w:rsidP="00173655">
      <w:pPr>
        <w:ind w:left="567"/>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173655" w:rsidRPr="00173655" w:rsidRDefault="00173655" w:rsidP="00173655">
      <w:pPr>
        <w:ind w:left="567"/>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173655" w:rsidRPr="00173655" w:rsidRDefault="00173655" w:rsidP="00173655">
      <w:pPr>
        <w:spacing w:after="200"/>
        <w:ind w:left="567" w:hanging="567"/>
        <w:contextualSpacing/>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color w:val="000000"/>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173655" w:rsidRPr="00173655" w:rsidRDefault="00173655" w:rsidP="00173655">
      <w:pPr>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color w:val="000000"/>
        </w:rPr>
        <w:t>Відповідно</w:t>
      </w:r>
      <w:r w:rsidRPr="00173655">
        <w:rPr>
          <w:rFonts w:eastAsia="Calibri"/>
          <w:bCs/>
          <w:color w:val="000000"/>
          <w:lang w:eastAsia="en-US"/>
        </w:rPr>
        <w:t xml:space="preserve">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173655" w:rsidRPr="00173655" w:rsidRDefault="00173655" w:rsidP="00173655">
      <w:pPr>
        <w:ind w:left="426"/>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Комісія також вважає, що послуги, які визначаються як ПЗЕІ, повинні бути адресовані громадянам або бути в інтересах суспільства в цілому.</w:t>
      </w:r>
    </w:p>
    <w:p w:rsidR="00173655" w:rsidRPr="00173655" w:rsidRDefault="00173655" w:rsidP="00173655">
      <w:pPr>
        <w:ind w:left="426"/>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rPr>
      </w:pPr>
      <w:r w:rsidRPr="00173655">
        <w:rPr>
          <w:rFonts w:eastAsia="Calibri"/>
          <w:color w:val="000000"/>
        </w:rPr>
        <w:t>Додатково, відповідно до рішення Європейського суду від 24.07.2003 № 280/00 Altmark Trans Gmbh, Regierungspräsidium Magdeburg v Nahverkehrsgesell – schaft Altmark Gmbh (далі – Рішення у справі Altmark, критерії у справі Altmark),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173655" w:rsidRPr="00173655" w:rsidRDefault="00173655" w:rsidP="00173655">
      <w:pPr>
        <w:ind w:left="426"/>
        <w:jc w:val="both"/>
        <w:rPr>
          <w:rFonts w:eastAsia="Calibri"/>
          <w:color w:val="000000"/>
        </w:rPr>
      </w:pPr>
      <w:r w:rsidRPr="00173655">
        <w:rPr>
          <w:rFonts w:eastAsia="Calibri"/>
          <w:color w:val="000000"/>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lastRenderedPageBreak/>
        <w:t>суб’єкт господарювання повинен виконувати зобов’язання з обслуговування населення, і ці зобов'язання чітко встановлені та визначені;</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параметри, на підставі яких розраховується компенсація, визначені заздалегідь об’єктивним і прозорим способом;</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w:t>
      </w:r>
      <w:r w:rsidR="00E75DF7">
        <w:rPr>
          <w:rFonts w:eastAsia="Calibri"/>
          <w:color w:val="000000"/>
          <w:lang w:eastAsia="en-US"/>
        </w:rPr>
        <w:t>их</w:t>
      </w:r>
      <w:r w:rsidRPr="00173655">
        <w:rPr>
          <w:rFonts w:eastAsia="Calibri"/>
          <w:color w:val="000000"/>
          <w:lang w:eastAsia="en-US"/>
        </w:rPr>
        <w:t xml:space="preserve"> типовий суб’єкт господарювання, під належним управлінням та з достатнім забезпеченням транспортними засобами, щоб він міг задовольняти громадські потреби, </w:t>
      </w:r>
      <w:r w:rsidR="00E75DF7">
        <w:rPr>
          <w:rFonts w:eastAsia="Calibri"/>
          <w:color w:val="000000"/>
          <w:lang w:eastAsia="en-US"/>
        </w:rPr>
        <w:t>зазнав</w:t>
      </w:r>
      <w:r w:rsidR="00E75DF7" w:rsidRPr="00173655">
        <w:rPr>
          <w:rFonts w:eastAsia="Calibri"/>
          <w:color w:val="000000"/>
          <w:lang w:eastAsia="en-US"/>
        </w:rPr>
        <w:t xml:space="preserve"> </w:t>
      </w:r>
      <w:r w:rsidRPr="00173655">
        <w:rPr>
          <w:rFonts w:eastAsia="Calibri"/>
          <w:color w:val="000000"/>
          <w:lang w:eastAsia="en-US"/>
        </w:rPr>
        <w:t>би під час виконання таких обов’язків, враховуючи відповідні надходження та обґрунтований прибуток від виконання обов’язків.</w:t>
      </w:r>
    </w:p>
    <w:p w:rsidR="00173655" w:rsidRPr="00173655" w:rsidRDefault="00173655" w:rsidP="00173655">
      <w:pPr>
        <w:ind w:left="567"/>
        <w:jc w:val="both"/>
        <w:rPr>
          <w:rFonts w:eastAsia="Calibri"/>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color w:val="000000"/>
        </w:rPr>
        <w:t>Відповідно</w:t>
      </w:r>
      <w:r w:rsidRPr="00173655">
        <w:rPr>
          <w:rFonts w:eastAsia="Calibri"/>
          <w:bCs/>
          <w:color w:val="000000"/>
          <w:lang w:eastAsia="en-US"/>
        </w:rPr>
        <w:t xml:space="preserve">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173655" w:rsidRPr="00173655" w:rsidRDefault="00173655" w:rsidP="00173655">
      <w:pPr>
        <w:spacing w:after="200"/>
        <w:ind w:left="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173655">
        <w:rPr>
          <w:rFonts w:eastAsia="Calibri"/>
          <w:color w:val="000000"/>
        </w:rPr>
        <w:t>публічних</w:t>
      </w:r>
      <w:r w:rsidRPr="00173655">
        <w:rPr>
          <w:rFonts w:eastAsia="Calibri"/>
          <w:bCs/>
          <w:color w:val="000000"/>
          <w:lang w:eastAsia="en-US"/>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173655" w:rsidRPr="00173655" w:rsidRDefault="00173655" w:rsidP="00173655">
      <w:pPr>
        <w:spacing w:after="200"/>
        <w:ind w:left="567" w:hanging="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173655" w:rsidRPr="00173655" w:rsidRDefault="00173655" w:rsidP="00173655">
      <w:pPr>
        <w:spacing w:after="200"/>
        <w:ind w:left="567" w:hanging="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Повідомленням Комісії також встановлено детальні правила, якими буде задовольнятис</w:t>
      </w:r>
      <w:r w:rsidR="00E75DF7">
        <w:rPr>
          <w:rFonts w:eastAsia="Calibri"/>
          <w:bCs/>
          <w:color w:val="000000"/>
          <w:lang w:eastAsia="en-US"/>
        </w:rPr>
        <w:t>я</w:t>
      </w:r>
      <w:r w:rsidRPr="00173655">
        <w:rPr>
          <w:rFonts w:eastAsia="Calibri"/>
          <w:bCs/>
          <w:color w:val="000000"/>
          <w:lang w:eastAsia="en-US"/>
        </w:rPr>
        <w:t xml:space="preserve"> кожен із критеріїв, передбачений Рішенням у справі Altmark.</w:t>
      </w:r>
    </w:p>
    <w:p w:rsidR="00173655" w:rsidRPr="00173655" w:rsidRDefault="00173655" w:rsidP="00173655">
      <w:pPr>
        <w:ind w:left="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Так, відповідно до </w:t>
      </w:r>
      <w:r w:rsidRPr="00173655">
        <w:rPr>
          <w:rFonts w:eastAsia="Calibri"/>
          <w:bCs/>
          <w:color w:val="000000"/>
          <w:u w:val="single"/>
          <w:lang w:eastAsia="en-US"/>
        </w:rPr>
        <w:t>першого критерію</w:t>
      </w:r>
      <w:r w:rsidRPr="00173655">
        <w:rPr>
          <w:rFonts w:eastAsia="Calibri"/>
          <w:bCs/>
          <w:color w:val="000000"/>
          <w:lang w:eastAsia="en-US"/>
        </w:rPr>
        <w:t xml:space="preserve"> Рішення у справі Altmark, на суб’єкта господарювання передбачено покладання зобов’язань із надання ПЗЕІ, які мають бути чітко визначені.</w:t>
      </w:r>
    </w:p>
    <w:p w:rsidR="00173655" w:rsidRPr="00173655" w:rsidRDefault="00173655" w:rsidP="00173655">
      <w:pPr>
        <w:ind w:left="567"/>
        <w:contextualSpacing/>
        <w:jc w:val="both"/>
        <w:rPr>
          <w:rFonts w:eastAsia="Calibri"/>
          <w:bCs/>
          <w:color w:val="000000"/>
          <w:lang w:eastAsia="en-US"/>
        </w:rPr>
      </w:pPr>
      <w:r w:rsidRPr="00173655">
        <w:rPr>
          <w:rFonts w:eastAsia="Calibri"/>
          <w:bCs/>
          <w:color w:val="000000"/>
          <w:lang w:eastAsia="en-US"/>
        </w:rPr>
        <w:t>У пункті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 xml:space="preserve">зміст і тривалість зобов’язань із надання ПЗЕІ; </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назв</w:t>
      </w:r>
      <w:r w:rsidR="00E75DF7">
        <w:rPr>
          <w:rFonts w:eastAsia="Calibri"/>
          <w:color w:val="000000"/>
          <w:lang w:eastAsia="en-US"/>
        </w:rPr>
        <w:t>у</w:t>
      </w:r>
      <w:r w:rsidRPr="00173655">
        <w:rPr>
          <w:rFonts w:eastAsia="Calibri"/>
          <w:color w:val="000000"/>
          <w:lang w:eastAsia="en-US"/>
        </w:rPr>
        <w:t xml:space="preserve"> суб’єкт господарювання і, де це необхідно, територі</w:t>
      </w:r>
      <w:r w:rsidR="00E75DF7">
        <w:rPr>
          <w:rFonts w:eastAsia="Calibri"/>
          <w:color w:val="000000"/>
          <w:lang w:eastAsia="en-US"/>
        </w:rPr>
        <w:t>ю</w:t>
      </w:r>
      <w:r w:rsidRPr="00173655">
        <w:rPr>
          <w:rFonts w:eastAsia="Calibri"/>
          <w:color w:val="000000"/>
          <w:lang w:eastAsia="en-US"/>
        </w:rPr>
        <w:t xml:space="preserve">, на яку поширюються його послуги; </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lastRenderedPageBreak/>
        <w:t>характер будь-яких виключних або спеціальних прав, які було надано державним органом влади суб’єкту господарювання щодо ПЗЕІ;</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 xml:space="preserve">методику розрахунку компенсації, контролю та перегляду компенсації; </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механізм для уникнення й повернення надмірної компенсації.</w:t>
      </w:r>
    </w:p>
    <w:p w:rsidR="00173655" w:rsidRPr="00173655" w:rsidRDefault="00173655" w:rsidP="00173655">
      <w:pPr>
        <w:suppressAutoHyphens/>
        <w:ind w:left="567"/>
        <w:jc w:val="both"/>
        <w:rPr>
          <w:color w:val="000000"/>
          <w:lang w:eastAsia="ru-RU"/>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Зміст </w:t>
      </w:r>
      <w:r w:rsidRPr="00173655">
        <w:rPr>
          <w:rFonts w:eastAsia="Calibri"/>
          <w:bCs/>
          <w:color w:val="000000"/>
          <w:u w:val="single"/>
          <w:lang w:eastAsia="en-US"/>
        </w:rPr>
        <w:t>другого критерію</w:t>
      </w:r>
      <w:r w:rsidRPr="00173655">
        <w:rPr>
          <w:rFonts w:eastAsia="Calibri"/>
          <w:bCs/>
          <w:color w:val="000000"/>
          <w:lang w:eastAsia="en-US"/>
        </w:rPr>
        <w:t xml:space="preserve"> Рішення у справі Altmark розкрито в розділі 3.4 Повідомлення Комісії.</w:t>
      </w:r>
    </w:p>
    <w:p w:rsidR="00173655" w:rsidRPr="00173655" w:rsidRDefault="00173655" w:rsidP="00173655">
      <w:pPr>
        <w:spacing w:after="200"/>
        <w:ind w:left="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Відповідно до пунктів 54 </w:t>
      </w:r>
      <w:r w:rsidR="00E75DF7">
        <w:rPr>
          <w:rFonts w:eastAsia="Calibri"/>
          <w:bCs/>
          <w:color w:val="000000"/>
          <w:lang w:eastAsia="en-US"/>
        </w:rPr>
        <w:t>–</w:t>
      </w:r>
      <w:r w:rsidRPr="00173655">
        <w:rPr>
          <w:rFonts w:eastAsia="Calibri"/>
          <w:bCs/>
          <w:color w:val="000000"/>
          <w:lang w:eastAsia="en-US"/>
        </w:rPr>
        <w:t xml:space="preserve">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w:t>
      </w:r>
      <w:r w:rsidR="00E75DF7">
        <w:rPr>
          <w:rFonts w:eastAsia="Calibri"/>
          <w:bCs/>
          <w:color w:val="000000"/>
          <w:lang w:eastAsia="en-US"/>
        </w:rPr>
        <w:t>я</w:t>
      </w:r>
      <w:r w:rsidRPr="00173655">
        <w:rPr>
          <w:rFonts w:eastAsia="Calibri"/>
          <w:bCs/>
          <w:color w:val="000000"/>
          <w:lang w:eastAsia="en-US"/>
        </w:rPr>
        <w:t xml:space="preserve"> відповідно до певної формули, важливим є виключно те, щоб із самого початку було очевидно, яким способом компенсація буде розраховуватись.</w:t>
      </w:r>
    </w:p>
    <w:p w:rsidR="00173655" w:rsidRPr="00173655" w:rsidRDefault="00173655" w:rsidP="00173655">
      <w:pPr>
        <w:ind w:left="720"/>
        <w:contextualSpacing/>
        <w:rPr>
          <w:bCs/>
          <w:color w:val="000000"/>
          <w:lang w:eastAsia="ru-RU"/>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173655" w:rsidRPr="00173655" w:rsidRDefault="00173655" w:rsidP="00173655">
      <w:pPr>
        <w:spacing w:after="200"/>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Стосовно </w:t>
      </w:r>
      <w:r w:rsidRPr="00173655">
        <w:rPr>
          <w:rFonts w:eastAsia="Calibri"/>
          <w:bCs/>
          <w:color w:val="000000"/>
          <w:u w:val="single"/>
          <w:lang w:eastAsia="en-US"/>
        </w:rPr>
        <w:t>третього критерію</w:t>
      </w:r>
      <w:r w:rsidRPr="00173655">
        <w:rPr>
          <w:rFonts w:eastAsia="Calibri"/>
          <w:bCs/>
          <w:color w:val="000000"/>
          <w:lang w:eastAsia="en-US"/>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173655" w:rsidRPr="00173655" w:rsidRDefault="00173655" w:rsidP="00173655">
      <w:pPr>
        <w:spacing w:after="200"/>
        <w:ind w:left="567" w:hanging="567"/>
        <w:contextualSpacing/>
        <w:jc w:val="both"/>
        <w:rPr>
          <w:rFonts w:eastAsia="Calibri"/>
          <w:bCs/>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Згідно </w:t>
      </w:r>
      <w:r w:rsidR="00E75DF7">
        <w:rPr>
          <w:rFonts w:eastAsia="Calibri"/>
          <w:bCs/>
          <w:color w:val="000000"/>
          <w:lang w:eastAsia="en-US"/>
        </w:rPr>
        <w:t>і</w:t>
      </w:r>
      <w:r w:rsidRPr="00173655">
        <w:rPr>
          <w:rFonts w:eastAsia="Calibri"/>
          <w:bCs/>
          <w:color w:val="000000"/>
          <w:lang w:eastAsia="en-US"/>
        </w:rPr>
        <w:t xml:space="preserve">з </w:t>
      </w:r>
      <w:r w:rsidRPr="00173655">
        <w:rPr>
          <w:rFonts w:eastAsia="Calibri"/>
          <w:bCs/>
          <w:color w:val="000000"/>
          <w:u w:val="single"/>
          <w:lang w:eastAsia="en-US"/>
        </w:rPr>
        <w:t>четвертим критерієм</w:t>
      </w:r>
      <w:r w:rsidRPr="00173655">
        <w:rPr>
          <w:rFonts w:eastAsia="Calibri"/>
          <w:bCs/>
          <w:color w:val="000000"/>
          <w:lang w:eastAsia="en-US"/>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w:t>
      </w:r>
      <w:r w:rsidR="00E75DF7">
        <w:rPr>
          <w:rFonts w:eastAsia="Calibri"/>
          <w:bCs/>
          <w:color w:val="000000"/>
          <w:lang w:eastAsia="en-US"/>
        </w:rPr>
        <w:t>ого</w:t>
      </w:r>
      <w:r w:rsidRPr="00173655">
        <w:rPr>
          <w:rFonts w:eastAsia="Calibri"/>
          <w:bCs/>
          <w:color w:val="000000"/>
          <w:lang w:eastAsia="en-US"/>
        </w:rPr>
        <w:t xml:space="preserve"> суб’єкт</w:t>
      </w:r>
      <w:r w:rsidR="00E75DF7">
        <w:rPr>
          <w:rFonts w:eastAsia="Calibri"/>
          <w:bCs/>
          <w:color w:val="000000"/>
          <w:lang w:eastAsia="en-US"/>
        </w:rPr>
        <w:t>а</w:t>
      </w:r>
      <w:r w:rsidRPr="00173655">
        <w:rPr>
          <w:rFonts w:eastAsia="Calibri"/>
          <w:bCs/>
          <w:color w:val="000000"/>
          <w:lang w:eastAsia="en-US"/>
        </w:rPr>
        <w:t xml:space="preserve"> господарювання під час надання таких послуг.</w:t>
      </w:r>
    </w:p>
    <w:p w:rsidR="00173655" w:rsidRDefault="00173655" w:rsidP="00173655">
      <w:pPr>
        <w:spacing w:after="200"/>
        <w:ind w:left="426"/>
        <w:contextualSpacing/>
        <w:jc w:val="both"/>
        <w:rPr>
          <w:rFonts w:eastAsia="Calibri"/>
          <w:bCs/>
          <w:color w:val="000000"/>
          <w:lang w:eastAsia="en-US"/>
        </w:rPr>
      </w:pPr>
      <w:r w:rsidRPr="00173655">
        <w:rPr>
          <w:rFonts w:eastAsia="Calibri"/>
          <w:bCs/>
          <w:color w:val="000000"/>
          <w:lang w:eastAsia="en-US"/>
        </w:rPr>
        <w:t>У пункті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B63E8F" w:rsidRPr="00173655" w:rsidRDefault="00B63E8F" w:rsidP="00B63E8F">
      <w:pPr>
        <w:spacing w:after="200"/>
        <w:contextualSpacing/>
        <w:jc w:val="both"/>
        <w:rPr>
          <w:rFonts w:eastAsia="Calibri"/>
          <w:bCs/>
          <w:color w:val="000000"/>
          <w:lang w:eastAsia="en-US"/>
        </w:rPr>
      </w:pPr>
    </w:p>
    <w:p w:rsidR="00173655" w:rsidRPr="00173655" w:rsidRDefault="00173655" w:rsidP="00173655">
      <w:pPr>
        <w:numPr>
          <w:ilvl w:val="1"/>
          <w:numId w:val="33"/>
        </w:numPr>
        <w:tabs>
          <w:tab w:val="left" w:pos="0"/>
        </w:tabs>
        <w:spacing w:after="200"/>
        <w:ind w:left="567" w:hanging="567"/>
        <w:contextualSpacing/>
        <w:jc w:val="both"/>
        <w:rPr>
          <w:b/>
        </w:rPr>
      </w:pPr>
      <w:r w:rsidRPr="00173655">
        <w:rPr>
          <w:b/>
        </w:rPr>
        <w:t>Вимоги (критерії допустимості) компенсації витрат, пов’язаних із послугами громадського транспорту</w:t>
      </w:r>
    </w:p>
    <w:p w:rsidR="00173655" w:rsidRPr="00173655" w:rsidRDefault="00173655" w:rsidP="00173655">
      <w:pPr>
        <w:tabs>
          <w:tab w:val="left" w:pos="0"/>
        </w:tabs>
        <w:spacing w:after="200"/>
        <w:ind w:left="567"/>
        <w:contextualSpacing/>
        <w:jc w:val="both"/>
        <w:rPr>
          <w:b/>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bookmarkStart w:id="12" w:name="o250"/>
      <w:bookmarkStart w:id="13" w:name="o251"/>
      <w:bookmarkEnd w:id="12"/>
      <w:bookmarkEnd w:id="13"/>
      <w:r w:rsidRPr="00173655">
        <w:rPr>
          <w:color w:val="000000"/>
        </w:rPr>
        <w:t xml:space="preserve">Якщо </w:t>
      </w:r>
      <w:r w:rsidRPr="00173655">
        <w:rPr>
          <w:rFonts w:eastAsia="Calibri"/>
          <w:bCs/>
          <w:color w:val="000000"/>
          <w:lang w:eastAsia="en-US"/>
        </w:rPr>
        <w:t>критеріїв</w:t>
      </w:r>
      <w:r w:rsidRPr="00173655">
        <w:rPr>
          <w:color w:val="000000"/>
        </w:rPr>
        <w:t xml:space="preserve"> у справі Altmark не дотримано, з урахуванням положень статей 264 та 267 Угоди, для проведення відповідної оцінки </w:t>
      </w:r>
      <w:r w:rsidRPr="00173655">
        <w:rPr>
          <w:iCs/>
          <w:color w:val="000000"/>
          <w:lang w:eastAsia="ru-RU"/>
        </w:rPr>
        <w:t>допустимості державної допомоги</w:t>
      </w:r>
      <w:r w:rsidRPr="00173655">
        <w:rPr>
          <w:color w:val="000000"/>
        </w:rPr>
        <w:t xml:space="preserve"> </w:t>
      </w:r>
      <w:r w:rsidRPr="00173655">
        <w:rPr>
          <w:iCs/>
          <w:color w:val="000000"/>
          <w:lang w:eastAsia="ru-RU"/>
        </w:rPr>
        <w:t xml:space="preserve">під час надання послуг громадського транспорту для оцінки використовується </w:t>
      </w:r>
      <w:r w:rsidRPr="00173655">
        <w:rPr>
          <w:color w:val="000000"/>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w:t>
      </w:r>
      <w:r w:rsidRPr="00173655">
        <w:rPr>
          <w:color w:val="000000"/>
        </w:rPr>
        <w:br/>
        <w:t>(далі – Регламент).</w:t>
      </w:r>
    </w:p>
    <w:p w:rsidR="00173655" w:rsidRPr="00173655" w:rsidRDefault="00173655" w:rsidP="00173655">
      <w:pPr>
        <w:ind w:left="567"/>
        <w:jc w:val="both"/>
        <w:rPr>
          <w:color w:val="000000"/>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color w:val="000000"/>
        </w:rPr>
        <w:t xml:space="preserve">Згідно зі </w:t>
      </w:r>
      <w:r w:rsidRPr="00173655">
        <w:rPr>
          <w:rFonts w:eastAsia="Calibri"/>
          <w:bCs/>
          <w:color w:val="000000"/>
          <w:lang w:eastAsia="en-US"/>
        </w:rPr>
        <w:t>статтею</w:t>
      </w:r>
      <w:r w:rsidRPr="00173655">
        <w:rPr>
          <w:color w:val="000000"/>
        </w:rPr>
        <w:t xml:space="preserve"> 93 Договору ЄС допомога суб’єктам господарювання визнається сумісною з положеннями Договору ЄС, якщо вона забезпечує потреби координації </w:t>
      </w:r>
      <w:r w:rsidRPr="00173655">
        <w:rPr>
          <w:color w:val="000000"/>
        </w:rPr>
        <w:lastRenderedPageBreak/>
        <w:t>транспорту або якщо вона є відшкодуванням за виконання окремих зобов’язань, притаманних поняттю публічної послуги.</w:t>
      </w:r>
    </w:p>
    <w:p w:rsidR="00173655" w:rsidRPr="00173655" w:rsidRDefault="00173655" w:rsidP="00173655">
      <w:pPr>
        <w:jc w:val="both"/>
        <w:rPr>
          <w:color w:val="000000"/>
        </w:rPr>
      </w:pPr>
    </w:p>
    <w:p w:rsidR="00173655" w:rsidRPr="00173655" w:rsidRDefault="00173655" w:rsidP="00173655">
      <w:pPr>
        <w:numPr>
          <w:ilvl w:val="0"/>
          <w:numId w:val="35"/>
        </w:numPr>
        <w:tabs>
          <w:tab w:val="clear" w:pos="-180"/>
          <w:tab w:val="num" w:pos="-360"/>
          <w:tab w:val="num" w:pos="360"/>
        </w:tabs>
        <w:ind w:left="426" w:hanging="426"/>
        <w:jc w:val="both"/>
        <w:rPr>
          <w:rFonts w:eastAsia="Calibri"/>
          <w:color w:val="000000"/>
          <w:lang w:eastAsia="en-US"/>
        </w:rPr>
      </w:pPr>
      <w:r w:rsidRPr="00173655">
        <w:rPr>
          <w:rFonts w:eastAsia="Calibri"/>
          <w:bCs/>
          <w:color w:val="000000"/>
          <w:lang w:eastAsia="en-U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173655" w:rsidRPr="00173655" w:rsidRDefault="00173655" w:rsidP="00173655">
      <w:pPr>
        <w:ind w:left="567"/>
        <w:contextualSpacing/>
        <w:jc w:val="both"/>
        <w:rPr>
          <w:rFonts w:eastAsia="Calibri"/>
          <w:color w:val="000000"/>
          <w:lang w:eastAsia="en-US"/>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color w:val="000000"/>
        </w:rPr>
        <w:t xml:space="preserve">Відповідно до </w:t>
      </w:r>
      <w:r w:rsidRPr="00173655">
        <w:rPr>
          <w:rFonts w:eastAsia="Calibri"/>
          <w:bCs/>
          <w:color w:val="000000"/>
          <w:lang w:eastAsia="en-US"/>
        </w:rPr>
        <w:t>статті</w:t>
      </w:r>
      <w:r w:rsidRPr="00173655">
        <w:rPr>
          <w:color w:val="000000"/>
        </w:rPr>
        <w:t xml:space="preserve"> 2 Регламенту:</w:t>
      </w:r>
    </w:p>
    <w:p w:rsidR="00173655" w:rsidRPr="00173655" w:rsidRDefault="00173655" w:rsidP="00173655">
      <w:pPr>
        <w:numPr>
          <w:ilvl w:val="0"/>
          <w:numId w:val="36"/>
        </w:numPr>
        <w:ind w:left="567" w:hanging="567"/>
        <w:jc w:val="both"/>
        <w:rPr>
          <w:rFonts w:eastAsia="Calibri"/>
          <w:color w:val="000000"/>
          <w:lang w:eastAsia="en-US"/>
        </w:rPr>
      </w:pPr>
      <w:r w:rsidRPr="00173655">
        <w:rPr>
          <w:bCs/>
          <w:color w:val="000000"/>
        </w:rPr>
        <w:t>договір на публічну послугу означає один або більше юридично обов’язкових актів</w:t>
      </w:r>
      <w:r w:rsidRPr="00173655">
        <w:rPr>
          <w:rFonts w:eastAsia="Calibri"/>
          <w:color w:val="000000"/>
          <w:lang w:eastAsia="en-US"/>
        </w:rPr>
        <w:t>,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color w:val="000000"/>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173655" w:rsidRPr="00173655" w:rsidRDefault="00173655" w:rsidP="00173655">
      <w:pPr>
        <w:ind w:left="567"/>
        <w:jc w:val="both"/>
        <w:rPr>
          <w:color w:val="000000"/>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color w:val="000000"/>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173655" w:rsidRPr="00173655" w:rsidRDefault="00173655" w:rsidP="00173655">
      <w:pPr>
        <w:rPr>
          <w:color w:val="000000"/>
          <w:sz w:val="16"/>
          <w:lang w:eastAsia="ru-RU"/>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Відповідно до </w:t>
      </w:r>
      <w:r w:rsidRPr="00173655">
        <w:rPr>
          <w:color w:val="000000"/>
        </w:rPr>
        <w:t>статті</w:t>
      </w:r>
      <w:r w:rsidRPr="00173655">
        <w:rPr>
          <w:rFonts w:eastAsia="Calibri"/>
          <w:bCs/>
          <w:color w:val="000000"/>
          <w:lang w:eastAsia="en-US"/>
        </w:rPr>
        <w:t xml:space="preserve"> 4 Регламенту договір про надання </w:t>
      </w:r>
      <w:r w:rsidRPr="00173655">
        <w:rPr>
          <w:rFonts w:eastAsia="Calibri"/>
          <w:color w:val="000000"/>
        </w:rPr>
        <w:t>публічних</w:t>
      </w:r>
      <w:r w:rsidRPr="00173655">
        <w:rPr>
          <w:rFonts w:eastAsia="Calibri"/>
          <w:bCs/>
          <w:color w:val="000000"/>
          <w:lang w:eastAsia="en-US"/>
        </w:rPr>
        <w:t xml:space="preserve"> послуг та загальні правила повинні містити:</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чітко визначені зобов’язання щодо публічних послуг, які повинен виконувати суб’єкт господарювання, та відповідні географічні зони;</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параметри, на підставі яких розраховується компенсація, та наявність будь-яких ексклюзивних прав;</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lastRenderedPageBreak/>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173655" w:rsidRPr="00173655" w:rsidRDefault="00173655" w:rsidP="00173655">
      <w:pPr>
        <w:ind w:left="567"/>
        <w:jc w:val="both"/>
        <w:rPr>
          <w:color w:val="000000"/>
          <w:sz w:val="18"/>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rFonts w:eastAsia="Calibri"/>
          <w:bCs/>
          <w:color w:val="000000"/>
          <w:lang w:eastAsia="en-US"/>
        </w:rPr>
        <w:t>Тривалість</w:t>
      </w:r>
      <w:r w:rsidRPr="00173655">
        <w:rPr>
          <w:color w:val="000000"/>
        </w:rPr>
        <w:t xml:space="preserve">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173655" w:rsidRPr="00173655" w:rsidRDefault="00173655" w:rsidP="00173655">
      <w:pPr>
        <w:ind w:left="567"/>
        <w:jc w:val="both"/>
        <w:rPr>
          <w:color w:val="000000"/>
          <w:sz w:val="16"/>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bookmarkStart w:id="14" w:name="_Hlk67564166"/>
      <w:r w:rsidRPr="00173655">
        <w:rPr>
          <w:color w:val="000000"/>
          <w:lang w:eastAsia="ru-RU"/>
        </w:rPr>
        <w:t xml:space="preserve">У разі </w:t>
      </w:r>
      <w:r w:rsidRPr="00173655">
        <w:rPr>
          <w:rFonts w:eastAsia="Calibri"/>
          <w:bCs/>
          <w:color w:val="000000"/>
          <w:lang w:eastAsia="en-US"/>
        </w:rPr>
        <w:t>потреби</w:t>
      </w:r>
      <w:r w:rsidRPr="00173655">
        <w:rPr>
          <w:color w:val="000000"/>
          <w:lang w:eastAsia="ru-RU"/>
        </w:rPr>
        <w:t>, з урахуванням умов зносу активів, тривалість договору про надання</w:t>
      </w:r>
      <w:r w:rsidRPr="00173655">
        <w:rPr>
          <w:color w:val="000000"/>
          <w:lang w:eastAsia="ru-RU"/>
        </w:rPr>
        <w:br/>
        <w:t>транспортних послуг може бути збільшена максимум на 50 відсотків, якщо</w:t>
      </w:r>
      <w:r w:rsidRPr="00173655">
        <w:rPr>
          <w:color w:val="000000"/>
          <w:lang w:eastAsia="ru-RU"/>
        </w:rPr>
        <w:br/>
        <w:t>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173655" w:rsidRPr="00173655" w:rsidRDefault="00173655" w:rsidP="00173655">
      <w:pPr>
        <w:jc w:val="both"/>
        <w:rPr>
          <w:color w:val="000000"/>
          <w:sz w:val="16"/>
        </w:rPr>
      </w:pPr>
    </w:p>
    <w:bookmarkEnd w:id="14"/>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 xml:space="preserve">У пункті 2 статті 5 Регламенту передбачено, зокрема, що будь-який компетентний орган місцевої влади, що забезпечує надання </w:t>
      </w:r>
      <w:r w:rsidRPr="00173655">
        <w:rPr>
          <w:rFonts w:eastAsia="Calibri"/>
          <w:color w:val="000000"/>
        </w:rPr>
        <w:t>публічних</w:t>
      </w:r>
      <w:r w:rsidRPr="00173655">
        <w:rPr>
          <w:rFonts w:eastAsia="Calibri"/>
          <w:bCs/>
          <w:color w:val="000000"/>
          <w:lang w:eastAsia="en-US"/>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Pr="00173655">
        <w:rPr>
          <w:rFonts w:eastAsia="Calibri"/>
          <w:color w:val="000000"/>
        </w:rPr>
        <w:t>публічних</w:t>
      </w:r>
      <w:r w:rsidRPr="00173655">
        <w:rPr>
          <w:rFonts w:eastAsia="Calibri"/>
          <w:bCs/>
          <w:color w:val="000000"/>
          <w:lang w:eastAsia="en-US"/>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173655" w:rsidRPr="00173655" w:rsidRDefault="00173655" w:rsidP="00173655">
      <w:pPr>
        <w:ind w:left="567"/>
        <w:jc w:val="both"/>
        <w:rPr>
          <w:color w:val="000000"/>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rFonts w:eastAsia="Calibri"/>
          <w:bCs/>
          <w:color w:val="000000"/>
          <w:lang w:eastAsia="en-US"/>
        </w:rPr>
        <w:t>Згідно</w:t>
      </w:r>
      <w:r w:rsidRPr="00173655">
        <w:rPr>
          <w:color w:val="000000"/>
        </w:rPr>
        <w:t xml:space="preserve">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зі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173655" w:rsidRPr="00173655" w:rsidRDefault="00173655" w:rsidP="00173655">
      <w:pPr>
        <w:ind w:left="567" w:hanging="567"/>
        <w:jc w:val="both"/>
        <w:rPr>
          <w:color w:val="000000"/>
          <w:sz w:val="16"/>
        </w:rPr>
      </w:pPr>
    </w:p>
    <w:p w:rsidR="00173655" w:rsidRPr="00173655" w:rsidRDefault="00173655" w:rsidP="00173655">
      <w:pPr>
        <w:numPr>
          <w:ilvl w:val="0"/>
          <w:numId w:val="35"/>
        </w:numPr>
        <w:tabs>
          <w:tab w:val="clear" w:pos="-180"/>
          <w:tab w:val="num" w:pos="-360"/>
          <w:tab w:val="num" w:pos="360"/>
        </w:tabs>
        <w:ind w:left="426" w:hanging="426"/>
        <w:jc w:val="both"/>
        <w:rPr>
          <w:color w:val="000000"/>
        </w:rPr>
      </w:pPr>
      <w:r w:rsidRPr="00173655">
        <w:rPr>
          <w:rFonts w:eastAsia="Calibri"/>
          <w:bCs/>
          <w:color w:val="000000"/>
          <w:lang w:eastAsia="en-US"/>
        </w:rPr>
        <w:t>Відповідно</w:t>
      </w:r>
      <w:r w:rsidRPr="00173655">
        <w:rPr>
          <w:color w:val="000000"/>
        </w:rPr>
        <w:t xml:space="preserve">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173655" w:rsidRPr="00173655" w:rsidRDefault="00173655" w:rsidP="00173655">
      <w:pPr>
        <w:ind w:left="567" w:hanging="567"/>
        <w:contextualSpacing/>
        <w:rPr>
          <w:color w:val="000000"/>
          <w:sz w:val="16"/>
          <w:lang w:eastAsia="ru-RU"/>
        </w:rPr>
      </w:pPr>
    </w:p>
    <w:p w:rsidR="00173655" w:rsidRPr="00173655" w:rsidRDefault="00173655" w:rsidP="00173655">
      <w:pPr>
        <w:numPr>
          <w:ilvl w:val="0"/>
          <w:numId w:val="35"/>
        </w:numPr>
        <w:tabs>
          <w:tab w:val="clear" w:pos="-180"/>
          <w:tab w:val="num" w:pos="-360"/>
          <w:tab w:val="num" w:pos="360"/>
        </w:tabs>
        <w:ind w:left="426" w:hanging="426"/>
        <w:jc w:val="both"/>
        <w:rPr>
          <w:rFonts w:eastAsia="Calibri"/>
          <w:bCs/>
          <w:color w:val="000000"/>
          <w:lang w:eastAsia="en-US"/>
        </w:rPr>
      </w:pPr>
      <w:r w:rsidRPr="00173655">
        <w:rPr>
          <w:rFonts w:eastAsia="Calibri"/>
          <w:bCs/>
          <w:color w:val="000000"/>
          <w:lang w:eastAsia="en-US"/>
        </w:rPr>
        <w:t>Отже, беручи до уваги зобов’язання України, передбачені статтею 264 Угоди, положення Регламенту, компенсація витрат суб’єкта господарювання є сумісною із наданням послуг загального економічного інтересу, якщо:</w:t>
      </w:r>
    </w:p>
    <w:p w:rsidR="00173655" w:rsidRPr="00173655" w:rsidRDefault="00173655" w:rsidP="00173655">
      <w:pPr>
        <w:numPr>
          <w:ilvl w:val="0"/>
          <w:numId w:val="36"/>
        </w:numPr>
        <w:ind w:left="567" w:hanging="567"/>
        <w:jc w:val="both"/>
        <w:rPr>
          <w:rFonts w:eastAsia="Calibri"/>
          <w:color w:val="000000"/>
          <w:lang w:eastAsia="en-US"/>
        </w:rPr>
      </w:pPr>
      <w:r w:rsidRPr="00173655">
        <w:rPr>
          <w:rFonts w:eastAsia="Calibri"/>
          <w:color w:val="000000"/>
          <w:lang w:eastAsia="en-US"/>
        </w:rPr>
        <w:t xml:space="preserve">суб’єкт господарювання має чітко визначені зобов’язання надавати </w:t>
      </w:r>
      <w:r w:rsidRPr="00173655">
        <w:rPr>
          <w:rFonts w:eastAsia="Calibri"/>
          <w:color w:val="000000"/>
        </w:rPr>
        <w:t>публічні</w:t>
      </w:r>
      <w:r w:rsidRPr="00173655">
        <w:rPr>
          <w:rFonts w:eastAsia="Calibri"/>
          <w:color w:val="000000"/>
          <w:lang w:eastAsia="en-US"/>
        </w:rPr>
        <w:t xml:space="preserve"> послуги (обслуговувати населення) з дотриманням відповідних географічних зон;</w:t>
      </w:r>
    </w:p>
    <w:p w:rsidR="00173655" w:rsidRPr="00173655" w:rsidRDefault="00173655" w:rsidP="00173655">
      <w:pPr>
        <w:numPr>
          <w:ilvl w:val="0"/>
          <w:numId w:val="37"/>
        </w:numPr>
        <w:ind w:left="567" w:hanging="567"/>
        <w:jc w:val="both"/>
        <w:rPr>
          <w:color w:val="000000"/>
        </w:rPr>
      </w:pPr>
      <w:r w:rsidRPr="00173655">
        <w:rPr>
          <w:color w:val="000000"/>
        </w:rPr>
        <w:t>параметри, на підставі яких обчислюється компенсація, є визначеними заздалегідь  об’єктивним і прозорим способом щоб уникнути сплати будь-якої суми надмірної компенсації;</w:t>
      </w:r>
    </w:p>
    <w:p w:rsidR="00173655" w:rsidRPr="00173655" w:rsidRDefault="00173655" w:rsidP="00173655">
      <w:pPr>
        <w:numPr>
          <w:ilvl w:val="0"/>
          <w:numId w:val="37"/>
        </w:numPr>
        <w:ind w:left="567" w:hanging="567"/>
        <w:jc w:val="both"/>
        <w:rPr>
          <w:color w:val="000000"/>
        </w:rPr>
      </w:pPr>
      <w:r w:rsidRPr="00173655">
        <w:t xml:space="preserve">спосіб розподілу витрат, пов’язаних </w:t>
      </w:r>
      <w:r w:rsidRPr="00173655">
        <w:rPr>
          <w:color w:val="000000"/>
        </w:rPr>
        <w:t>з виконанням договору про надання послуг громадського транспорту</w:t>
      </w:r>
      <w:r w:rsidRPr="00173655">
        <w:t xml:space="preserve">. Ці витрати можуть, зокрема, включати витрати на оплату </w:t>
      </w:r>
      <w:r w:rsidRPr="00173655">
        <w:lastRenderedPageBreak/>
        <w:t xml:space="preserve">персоналу, на електроенергію, інфраструктуру, утримання </w:t>
      </w:r>
      <w:r w:rsidR="00B25118">
        <w:t>й</w:t>
      </w:r>
      <w:r w:rsidR="00B25118" w:rsidRPr="00173655">
        <w:t xml:space="preserve"> </w:t>
      </w:r>
      <w:r w:rsidRPr="00173655">
        <w:t xml:space="preserve">ремонт громадських транспортних засобів, рухомих складів потягів </w:t>
      </w:r>
      <w:r w:rsidR="00B25118">
        <w:t>та</w:t>
      </w:r>
      <w:r w:rsidR="00B25118" w:rsidRPr="00173655">
        <w:t xml:space="preserve"> </w:t>
      </w:r>
      <w:r w:rsidRPr="00173655">
        <w:t xml:space="preserve">установок, необхідних для надання громадських транспортних послуг, встановлені витрати </w:t>
      </w:r>
      <w:r w:rsidR="00B25118">
        <w:t>й</w:t>
      </w:r>
      <w:r w:rsidR="00B25118" w:rsidRPr="00173655">
        <w:t xml:space="preserve"> </w:t>
      </w:r>
      <w:r w:rsidRPr="00173655">
        <w:t>відповідне повернення до капіталу;</w:t>
      </w:r>
    </w:p>
    <w:p w:rsidR="00173655" w:rsidRPr="00173655" w:rsidRDefault="00173655" w:rsidP="00173655">
      <w:pPr>
        <w:numPr>
          <w:ilvl w:val="0"/>
          <w:numId w:val="37"/>
        </w:numPr>
        <w:ind w:left="567" w:hanging="567"/>
        <w:jc w:val="both"/>
      </w:pPr>
      <w:r w:rsidRPr="00173655">
        <w:rPr>
          <w:rFonts w:eastAsia="Calibri"/>
          <w:color w:val="000000"/>
          <w:lang w:eastAsia="en-US"/>
        </w:rPr>
        <w:t xml:space="preserve">тривалість дії договору не перевищує 10 років для транспортних послуг, що </w:t>
      </w:r>
      <w:r w:rsidRPr="00173655">
        <w:t>здійснюються автобусами, та 15 років – для послуг пасажирського транспорту;</w:t>
      </w:r>
    </w:p>
    <w:p w:rsidR="00173655" w:rsidRPr="00173655" w:rsidRDefault="00173655" w:rsidP="00173655">
      <w:pPr>
        <w:numPr>
          <w:ilvl w:val="0"/>
          <w:numId w:val="37"/>
        </w:numPr>
        <w:ind w:left="567" w:hanging="567"/>
        <w:jc w:val="both"/>
      </w:pPr>
      <w:r w:rsidRPr="00173655">
        <w:t>у разі укладення прямого договору між підконтрольним підприємством та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bookmarkEnd w:id="9"/>
    </w:p>
    <w:p w:rsidR="00173655" w:rsidRPr="00173655" w:rsidRDefault="00173655" w:rsidP="00173655">
      <w:pPr>
        <w:ind w:left="567"/>
        <w:jc w:val="both"/>
      </w:pPr>
    </w:p>
    <w:p w:rsidR="00173655" w:rsidRPr="00173655" w:rsidRDefault="00173655" w:rsidP="00173655">
      <w:pPr>
        <w:numPr>
          <w:ilvl w:val="1"/>
          <w:numId w:val="33"/>
        </w:numPr>
        <w:tabs>
          <w:tab w:val="left" w:pos="0"/>
        </w:tabs>
        <w:spacing w:after="200"/>
        <w:ind w:left="567" w:hanging="567"/>
        <w:contextualSpacing/>
        <w:jc w:val="both"/>
        <w:rPr>
          <w:b/>
        </w:rPr>
      </w:pPr>
      <w:r w:rsidRPr="00173655">
        <w:rPr>
          <w:b/>
        </w:rPr>
        <w:t>Законодавство у сфері надання місцевих гарантій та умови надання місцевих гарантій</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Згідно </w:t>
      </w:r>
      <w:r w:rsidR="00B25118">
        <w:t>і</w:t>
      </w:r>
      <w:r w:rsidRPr="00173655">
        <w:t>з частиною другою статті 17 Бюджетного кодексу України місцеві гарантії можуть надаватися, зокрема, за рішенням 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міста,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173655" w:rsidRPr="00173655" w:rsidRDefault="00173655" w:rsidP="00173655">
      <w:pPr>
        <w:ind w:left="567"/>
        <w:jc w:val="both"/>
      </w:pPr>
    </w:p>
    <w:p w:rsidR="00173655" w:rsidRPr="00173655" w:rsidRDefault="00173655" w:rsidP="00173655">
      <w:pPr>
        <w:numPr>
          <w:ilvl w:val="0"/>
          <w:numId w:val="35"/>
        </w:numPr>
        <w:tabs>
          <w:tab w:val="clear" w:pos="-180"/>
          <w:tab w:val="num" w:pos="-360"/>
          <w:tab w:val="num" w:pos="360"/>
        </w:tabs>
        <w:ind w:left="426" w:hanging="426"/>
        <w:jc w:val="both"/>
      </w:pPr>
      <w:r w:rsidRPr="00173655">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 w:val="num" w:pos="360"/>
        </w:tabs>
        <w:ind w:left="426" w:hanging="426"/>
        <w:jc w:val="both"/>
      </w:pPr>
      <w:r w:rsidRPr="00173655">
        <w:t>Механізм надання місцевих гарантій затверджений постановою Кабінету Міністрів України від 14.05.2012 № 541 «Про затвердження Порядку надання місцевих гарантій» (зі змінами).</w:t>
      </w:r>
    </w:p>
    <w:p w:rsidR="00173655" w:rsidRPr="00173655" w:rsidRDefault="00173655" w:rsidP="00173655">
      <w:pPr>
        <w:ind w:left="720"/>
        <w:contextualSpacing/>
        <w:rPr>
          <w:sz w:val="20"/>
          <w:szCs w:val="20"/>
        </w:rPr>
      </w:pPr>
    </w:p>
    <w:p w:rsidR="00173655" w:rsidRPr="00173655" w:rsidRDefault="00173655" w:rsidP="00173655">
      <w:pPr>
        <w:numPr>
          <w:ilvl w:val="0"/>
          <w:numId w:val="35"/>
        </w:numPr>
        <w:tabs>
          <w:tab w:val="clear" w:pos="-180"/>
          <w:tab w:val="num" w:pos="-360"/>
          <w:tab w:val="num" w:pos="360"/>
        </w:tabs>
        <w:ind w:left="426" w:hanging="426"/>
        <w:jc w:val="both"/>
      </w:pPr>
      <w:r w:rsidRPr="00173655">
        <w:t>Повідомленням Комісії 2008/C 155/02 ЄС про застосування статей 87 та 88 ДФЄС до державної допомоги у вигляді гарантій (далі – Повідомлення ЄК щодо гарантій) встановлені основні принципи та підходи щодо оцінки державної допомоги у формі гарантій.</w:t>
      </w:r>
    </w:p>
    <w:p w:rsidR="00173655" w:rsidRPr="00173655" w:rsidRDefault="00173655" w:rsidP="00173655">
      <w:pPr>
        <w:ind w:left="720"/>
        <w:contextualSpacing/>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Відповідно до пункту 2.1 Повідомлення ЄК щодо гарантій передбачено, що </w:t>
      </w:r>
      <w:r w:rsidRPr="00173655">
        <w:br/>
        <w:t>у статті 87 (1) ДФЄС зазначено, що будь-яка допомога, надана державою-членом або за рахунок державних ресурсів у будь-якій формі, яка спотворює або загрожує спотворенням конкуренції, надаючи перевагу певним підприємствам або виробництву певних товарів, що впливає на торгівлю між державами-членами, несумісна із загальним ринком.</w:t>
      </w:r>
    </w:p>
    <w:p w:rsidR="00173655" w:rsidRPr="00173655" w:rsidRDefault="00173655" w:rsidP="00173655">
      <w:pPr>
        <w:ind w:left="426"/>
        <w:jc w:val="both"/>
      </w:pPr>
      <w:r w:rsidRPr="00173655">
        <w:t>Гарантії, що надаються безпосередньо державою, а саме: центральними, регіональними чи місцевими органами влади, а також гарантії, надані за рахунок державних ресурсів іншими органами, що контролюються державою, такими як підприємства, та підлягають належності державним органам, можуть становити державну допомогу.</w:t>
      </w:r>
    </w:p>
    <w:p w:rsidR="00173655" w:rsidRPr="00173655" w:rsidRDefault="00173655" w:rsidP="00173655">
      <w:pPr>
        <w:ind w:left="426"/>
        <w:jc w:val="both"/>
      </w:pPr>
    </w:p>
    <w:p w:rsidR="00173655" w:rsidRPr="00173655" w:rsidRDefault="00173655" w:rsidP="00173655">
      <w:pPr>
        <w:ind w:left="426"/>
        <w:jc w:val="both"/>
      </w:pPr>
      <w:r w:rsidRPr="00173655">
        <w:t xml:space="preserve">Перевага державної гарантії полягає в тому, що ризик, пов'язаний із гарантією, несе держава. Такий ризик із боку держави, як правило, повинен бути відшкодований відповідною премією. Якщо держава відмовилася від всієї або часткової такої премії, це може бути вигодою для підприємства, а також витратою ресурсів держави. Отже, навіть якщо виявиться, що держава ніколи не здійснює жодних платежів під гарантію, все ж може бути державна допомога відповідно до статті 87 (1) ДФЄС. Допомога надається в </w:t>
      </w:r>
      <w:r w:rsidRPr="00173655">
        <w:lastRenderedPageBreak/>
        <w:t>момент надання гарантії, а не тоді, коли гарантія використовується, а також коли виплати здійснюються на умовах гарантії.</w:t>
      </w:r>
    </w:p>
    <w:p w:rsidR="00173655" w:rsidRPr="00173655" w:rsidRDefault="00173655" w:rsidP="00173655">
      <w:pPr>
        <w:ind w:left="426"/>
        <w:jc w:val="both"/>
      </w:pPr>
    </w:p>
    <w:p w:rsidR="00173655" w:rsidRPr="00173655" w:rsidRDefault="00173655" w:rsidP="00173655">
      <w:pPr>
        <w:numPr>
          <w:ilvl w:val="0"/>
          <w:numId w:val="35"/>
        </w:numPr>
        <w:tabs>
          <w:tab w:val="clear" w:pos="-180"/>
          <w:tab w:val="num" w:pos="-360"/>
          <w:tab w:val="num" w:pos="360"/>
        </w:tabs>
        <w:ind w:left="426" w:hanging="426"/>
        <w:jc w:val="both"/>
      </w:pPr>
      <w:r w:rsidRPr="00173655">
        <w:t>Відповідно до пункту 2.2 Повідомлення ЄК щодо гарантій</w:t>
      </w:r>
      <w:r w:rsidR="000D5C0A">
        <w:t xml:space="preserve">, </w:t>
      </w:r>
      <w:r w:rsidR="00C06ABB">
        <w:t>як правило</w:t>
      </w:r>
      <w:r w:rsidR="000D5C0A">
        <w:t xml:space="preserve">, </w:t>
      </w:r>
      <w:r w:rsidRPr="00173655">
        <w:t>бенефіціар допомоги є позичальником. Як зазначено в пункті 2.1 Повідомлення ЄК щодо гарантій</w:t>
      </w:r>
      <w:r w:rsidR="00C06ABB">
        <w:t>,</w:t>
      </w:r>
      <w:r w:rsidRPr="00173655">
        <w:t xml:space="preserve"> ризикованість зазвичай повинна бути відшкодована відповідною премією. Коли позичальнику не потрібно платити премію або </w:t>
      </w:r>
      <w:r w:rsidR="00C06ABB">
        <w:t xml:space="preserve">він </w:t>
      </w:r>
      <w:r w:rsidRPr="00173655">
        <w:t xml:space="preserve">сплачує низьку премію, </w:t>
      </w:r>
      <w:r w:rsidR="00C06ABB">
        <w:t>то</w:t>
      </w:r>
      <w:r w:rsidRPr="00173655">
        <w:t xml:space="preserve"> отримує перевагу. Порівняно із ситуацією без гарантій, державна гарантія дає змогу позичальнику отримати кращі фінансові умови позики, ніж ті, які зазвичай є на фінансових ринках. Як правило, за умови надання державної гарантії позичальник може отримати менші ставки та/або запропонувати меншу безпеку. У деяких випадках позичальник без державної гарантії не знайде фінансов</w:t>
      </w:r>
      <w:r w:rsidR="000D5C0A">
        <w:t>ої</w:t>
      </w:r>
      <w:r w:rsidRPr="00173655">
        <w:t xml:space="preserve"> установ</w:t>
      </w:r>
      <w:r w:rsidR="000D5C0A">
        <w:t>и</w:t>
      </w:r>
      <w:r w:rsidRPr="00173655">
        <w:t>, готов</w:t>
      </w:r>
      <w:r w:rsidR="000D5C0A">
        <w:t>ої</w:t>
      </w:r>
      <w:r w:rsidRPr="00173655">
        <w:t xml:space="preserve"> позичати на будь-яких умовах. Отже, державні гарантії можуть сприяти створенню нового бізнесу та дозволяти певним підприємствам збирати гроші для здійснення нової діяльності.</w:t>
      </w:r>
    </w:p>
    <w:p w:rsidR="00173655" w:rsidRPr="00173655" w:rsidRDefault="00173655" w:rsidP="00173655">
      <w:pPr>
        <w:tabs>
          <w:tab w:val="left" w:pos="426"/>
        </w:tabs>
        <w:ind w:left="360"/>
        <w:jc w:val="both"/>
      </w:pPr>
    </w:p>
    <w:p w:rsidR="00173655" w:rsidRPr="00173655" w:rsidRDefault="00173655" w:rsidP="00173655">
      <w:pPr>
        <w:numPr>
          <w:ilvl w:val="0"/>
          <w:numId w:val="35"/>
        </w:numPr>
        <w:tabs>
          <w:tab w:val="clear" w:pos="-180"/>
          <w:tab w:val="num" w:pos="-360"/>
          <w:tab w:val="num" w:pos="360"/>
        </w:tabs>
        <w:ind w:left="426" w:hanging="426"/>
        <w:jc w:val="both"/>
      </w:pPr>
      <w:r w:rsidRPr="00173655">
        <w:t>Повідомленням ЄК щодо гарантій встановлені певні критерії, що дозволяють визначати відсутність державної допомоги у випадках надання державних гарантій. Зокрема, вважається, що програми державної допомоги з надання гарантій не містять державної допомоги, якщо дотримуються такі «ринкові» умови:</w:t>
      </w:r>
    </w:p>
    <w:p w:rsidR="00173655" w:rsidRPr="00173655" w:rsidRDefault="00173655" w:rsidP="00284A21">
      <w:pPr>
        <w:numPr>
          <w:ilvl w:val="0"/>
          <w:numId w:val="34"/>
        </w:numPr>
        <w:tabs>
          <w:tab w:val="left" w:pos="426"/>
          <w:tab w:val="num" w:pos="993"/>
        </w:tabs>
        <w:ind w:left="993" w:hanging="567"/>
        <w:jc w:val="both"/>
      </w:pPr>
      <w:r w:rsidRPr="00173655">
        <w:t>позичальник не перебуває у скрутному фінансовому становищі;</w:t>
      </w:r>
    </w:p>
    <w:p w:rsidR="00173655" w:rsidRPr="00173655" w:rsidRDefault="00284A21" w:rsidP="00737159">
      <w:pPr>
        <w:ind w:left="426"/>
        <w:jc w:val="both"/>
      </w:pPr>
      <w:r>
        <w:t>- </w:t>
      </w:r>
      <w:r w:rsidR="00173655" w:rsidRPr="00173655">
        <w:t>обсяг гарантії можна визначити належним чином при її наданні. Це означає, що гарантія повинна прив’язуватис</w:t>
      </w:r>
      <w:r w:rsidR="000D5C0A">
        <w:t>я</w:t>
      </w:r>
      <w:r w:rsidR="00173655" w:rsidRPr="00173655">
        <w:t xml:space="preserve"> до конкретної фінансової операції з фіксованою максимальною сумою та бути обмеженою в часі. Оскільки така операція та її сума зазначаються в угоді, для гарантії не передбачено часових обмежень;</w:t>
      </w:r>
    </w:p>
    <w:p w:rsidR="00173655" w:rsidRPr="00173655" w:rsidRDefault="00284A21" w:rsidP="00737159">
      <w:pPr>
        <w:ind w:left="426"/>
        <w:jc w:val="both"/>
      </w:pPr>
      <w:r>
        <w:t>- </w:t>
      </w:r>
      <w:r w:rsidR="00173655" w:rsidRPr="00173655">
        <w:t>сума гарантії покриває не більше 80 % непогашеної суми кредиту чи іншого фінансового зобов’язання;</w:t>
      </w:r>
    </w:p>
    <w:p w:rsidR="00173655" w:rsidRPr="00173655" w:rsidRDefault="00284A21" w:rsidP="00737159">
      <w:pPr>
        <w:tabs>
          <w:tab w:val="num" w:pos="426"/>
        </w:tabs>
        <w:ind w:left="426"/>
        <w:jc w:val="both"/>
      </w:pPr>
      <w:r>
        <w:t>- </w:t>
      </w:r>
      <w:r w:rsidR="00173655" w:rsidRPr="00173655">
        <w:t>сплата ринкової ціни за надану гарантію.</w:t>
      </w:r>
    </w:p>
    <w:p w:rsidR="00173655" w:rsidRPr="00173655" w:rsidRDefault="00173655" w:rsidP="00737159">
      <w:pPr>
        <w:ind w:left="284"/>
        <w:jc w:val="both"/>
        <w:rPr>
          <w:u w:val="single"/>
        </w:rPr>
      </w:pPr>
      <w:r w:rsidRPr="00173655">
        <w:t>Обмеження щодо покриття гарантією не більше 80 % суми позики не застосовується до державної гарантії, якщо гарантія забезпечує фінансування компанії, діяльність якої спрямована виключно на здійснення послуг, що становлять загальний економічний інтерес (далі – ПЗЕІ), і коли ця гарантія була надана органом державної влади, який доручив компанії здійснення ПЗЕІ. Обмеження в частині покриття не більше 80 % суми позики застосовується, якщо відповідна компанія надає інші ПЗЕІ або іншу господарську діяльність.</w:t>
      </w:r>
    </w:p>
    <w:p w:rsidR="00173655" w:rsidRPr="00173655" w:rsidRDefault="00173655" w:rsidP="00173655">
      <w:pPr>
        <w:ind w:left="567"/>
        <w:jc w:val="both"/>
      </w:pPr>
    </w:p>
    <w:p w:rsidR="00173655" w:rsidRPr="00173655" w:rsidRDefault="00173655" w:rsidP="00173655">
      <w:pPr>
        <w:numPr>
          <w:ilvl w:val="0"/>
          <w:numId w:val="33"/>
        </w:numPr>
        <w:tabs>
          <w:tab w:val="left" w:pos="567"/>
        </w:tabs>
        <w:ind w:left="567" w:hanging="567"/>
        <w:contextualSpacing/>
        <w:jc w:val="both"/>
        <w:rPr>
          <w:b/>
        </w:rPr>
      </w:pPr>
      <w:r w:rsidRPr="00173655">
        <w:rPr>
          <w:b/>
        </w:rPr>
        <w:t>ВИСНОВКИ ЗА РЕЗУЛЬТАТАМИ РОЗГЛЯДУ СПРАВИ</w:t>
      </w:r>
    </w:p>
    <w:p w:rsidR="00173655" w:rsidRPr="00173655" w:rsidRDefault="00173655" w:rsidP="00173655">
      <w:pPr>
        <w:pStyle w:val="rvps2"/>
        <w:tabs>
          <w:tab w:val="left" w:pos="0"/>
        </w:tabs>
        <w:spacing w:before="0" w:beforeAutospacing="0" w:after="0" w:afterAutospacing="0"/>
        <w:ind w:left="142" w:hanging="76"/>
        <w:contextualSpacing/>
        <w:jc w:val="both"/>
        <w:rPr>
          <w:b/>
          <w:lang w:val="uk-UA"/>
        </w:rPr>
      </w:pPr>
    </w:p>
    <w:p w:rsidR="00173655" w:rsidRPr="00173655" w:rsidRDefault="00173655" w:rsidP="00173655">
      <w:pPr>
        <w:numPr>
          <w:ilvl w:val="1"/>
          <w:numId w:val="33"/>
        </w:numPr>
        <w:ind w:left="709" w:hanging="643"/>
        <w:jc w:val="both"/>
        <w:rPr>
          <w:b/>
        </w:rPr>
      </w:pPr>
      <w:r w:rsidRPr="00173655">
        <w:rPr>
          <w:b/>
        </w:rPr>
        <w:t xml:space="preserve">Віднесення послуг </w:t>
      </w:r>
      <w:r w:rsidR="00CB7560">
        <w:rPr>
          <w:b/>
        </w:rPr>
        <w:t>і</w:t>
      </w:r>
      <w:r w:rsidRPr="00173655">
        <w:rPr>
          <w:b/>
        </w:rPr>
        <w:t>з перевезення пасажирів міським електричним транспортом до послуг, що становлять загальний економічний інтерес</w:t>
      </w:r>
    </w:p>
    <w:p w:rsidR="00173655" w:rsidRPr="00173655" w:rsidRDefault="00173655" w:rsidP="00173655">
      <w:pPr>
        <w:ind w:left="720"/>
        <w:jc w:val="both"/>
        <w:rPr>
          <w:b/>
        </w:rPr>
      </w:pPr>
    </w:p>
    <w:p w:rsidR="00173655" w:rsidRPr="00173655" w:rsidRDefault="00173655" w:rsidP="00173655">
      <w:pPr>
        <w:numPr>
          <w:ilvl w:val="0"/>
          <w:numId w:val="35"/>
        </w:numPr>
        <w:tabs>
          <w:tab w:val="clear" w:pos="-180"/>
          <w:tab w:val="num" w:pos="-360"/>
          <w:tab w:val="num" w:pos="360"/>
        </w:tabs>
        <w:ind w:left="426" w:hanging="426"/>
        <w:jc w:val="both"/>
      </w:pPr>
      <w:r w:rsidRPr="00173655">
        <w:rPr>
          <w:rFonts w:eastAsia="Calibri"/>
          <w:bCs/>
          <w:color w:val="000000"/>
          <w:lang w:eastAsia="en-US"/>
        </w:rPr>
        <w:t>Відповідно</w:t>
      </w:r>
      <w:r w:rsidRPr="00173655">
        <w:t xml:space="preserve"> до визначення ПЗЕІ, наведеного в Законі, до ПЗЕІ можуть бути віднесені послуги, які відповідають таким умовам: - пов’язані із задоволенням особливо важливих загальних потреб громадян; - не можуть надаватися на комерційній основі без державної підтримки.</w:t>
      </w:r>
    </w:p>
    <w:p w:rsidR="00173655" w:rsidRPr="00173655" w:rsidRDefault="00173655" w:rsidP="00173655">
      <w:pPr>
        <w:tabs>
          <w:tab w:val="num" w:pos="360"/>
        </w:tabs>
        <w:ind w:left="426"/>
        <w:jc w:val="both"/>
      </w:pPr>
    </w:p>
    <w:p w:rsidR="00173655" w:rsidRPr="00173655" w:rsidRDefault="00173655" w:rsidP="00737159">
      <w:pPr>
        <w:numPr>
          <w:ilvl w:val="0"/>
          <w:numId w:val="35"/>
        </w:numPr>
        <w:tabs>
          <w:tab w:val="clear" w:pos="-180"/>
          <w:tab w:val="num" w:pos="-360"/>
          <w:tab w:val="num" w:pos="360"/>
        </w:tabs>
        <w:ind w:left="426" w:hanging="426"/>
        <w:jc w:val="both"/>
      </w:pPr>
      <w:r w:rsidRPr="00173655">
        <w:t xml:space="preserve">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 </w:t>
      </w:r>
    </w:p>
    <w:p w:rsidR="00173655" w:rsidRPr="00173655" w:rsidRDefault="00173655" w:rsidP="00173655">
      <w:pPr>
        <w:numPr>
          <w:ilvl w:val="0"/>
          <w:numId w:val="35"/>
        </w:numPr>
        <w:tabs>
          <w:tab w:val="clear" w:pos="-180"/>
          <w:tab w:val="num" w:pos="-360"/>
          <w:tab w:val="num" w:pos="360"/>
        </w:tabs>
        <w:ind w:left="426" w:hanging="426"/>
        <w:jc w:val="both"/>
      </w:pPr>
      <w:r w:rsidRPr="00173655">
        <w:lastRenderedPageBreak/>
        <w:t xml:space="preserve">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Відповідно до статті 1 Закону України «Про міський електричний транспорт»: - 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 - тариф –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Згідно </w:t>
      </w:r>
      <w:r w:rsidR="00CB7560">
        <w:t>і</w:t>
      </w:r>
      <w:r w:rsidRPr="00173655">
        <w:t xml:space="preserve">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 - доступності транспортних послуг для усіх верств населення; 17 - пріоритетності розвитку міського електричного транспорту у містах з підвищеним рівнем забруднення довкілля та курортних регіонах; - створення сприятливих умов для виробництва вітчизняного рухомого складу та його удосконалення; - беззбиткової роботи перевізників. </w:t>
      </w:r>
    </w:p>
    <w:p w:rsidR="00173655" w:rsidRPr="00173655" w:rsidRDefault="00173655" w:rsidP="00173655">
      <w:pPr>
        <w:pStyle w:val="af6"/>
      </w:pPr>
    </w:p>
    <w:p w:rsidR="00173655" w:rsidRPr="00173655" w:rsidRDefault="00173655" w:rsidP="00173655">
      <w:pPr>
        <w:numPr>
          <w:ilvl w:val="0"/>
          <w:numId w:val="35"/>
        </w:numPr>
        <w:tabs>
          <w:tab w:val="clear" w:pos="-180"/>
          <w:tab w:val="num" w:pos="-360"/>
          <w:tab w:val="num" w:pos="360"/>
        </w:tabs>
        <w:ind w:left="426" w:hanging="426"/>
        <w:jc w:val="both"/>
      </w:pPr>
      <w:r w:rsidRPr="00173655">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 xml:space="preserve">Згідно зі статтею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 xml:space="preserve">Згідно </w:t>
      </w:r>
      <w:r w:rsidR="00B96696">
        <w:t>і</w:t>
      </w:r>
      <w:r w:rsidRPr="00173655">
        <w:t xml:space="preserve">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w:t>
      </w:r>
      <w:r w:rsidRPr="00173655">
        <w:lastRenderedPageBreak/>
        <w:t xml:space="preserve">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 xml:space="preserve">Відповідно до статті 17 Закону України «Про міський електричний транспорт» оновлення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 xml:space="preserve">Враховуючи викладене та з урахуванням визначення в пункті 14 статті 1 Закону </w:t>
      </w:r>
      <w:r w:rsidR="00CB7560">
        <w:t>й</w:t>
      </w:r>
      <w:r w:rsidR="00CB7560" w:rsidRPr="00173655">
        <w:t xml:space="preserve"> </w:t>
      </w:r>
      <w:r w:rsidRPr="00173655">
        <w:t xml:space="preserve">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173655" w:rsidRPr="00173655" w:rsidRDefault="00173655" w:rsidP="00173655">
      <w:pPr>
        <w:pStyle w:val="af6"/>
      </w:pPr>
    </w:p>
    <w:p w:rsidR="00173655" w:rsidRPr="00173655" w:rsidRDefault="00173655" w:rsidP="0013484C">
      <w:pPr>
        <w:numPr>
          <w:ilvl w:val="0"/>
          <w:numId w:val="35"/>
        </w:numPr>
        <w:tabs>
          <w:tab w:val="clear" w:pos="-180"/>
          <w:tab w:val="num" w:pos="-360"/>
        </w:tabs>
        <w:ind w:left="567" w:hanging="567"/>
        <w:jc w:val="both"/>
      </w:pPr>
      <w:r w:rsidRPr="00173655">
        <w:t>Отже, надання підтримки КП «Одесміськелектротранс» є компенсацією витрат, які пов’язані з наданням послуг, що становлять загальний економічний інтерес.</w:t>
      </w:r>
    </w:p>
    <w:p w:rsidR="00173655" w:rsidRPr="00173655" w:rsidRDefault="00173655" w:rsidP="00173655">
      <w:pPr>
        <w:pStyle w:val="af6"/>
      </w:pPr>
    </w:p>
    <w:p w:rsidR="00173655" w:rsidRPr="00173655" w:rsidRDefault="00173655" w:rsidP="00173655">
      <w:pPr>
        <w:numPr>
          <w:ilvl w:val="1"/>
          <w:numId w:val="33"/>
        </w:numPr>
        <w:ind w:left="709" w:hanging="643"/>
        <w:jc w:val="both"/>
        <w:rPr>
          <w:b/>
        </w:rPr>
      </w:pPr>
      <w:r w:rsidRPr="00173655">
        <w:rPr>
          <w:b/>
        </w:rPr>
        <w:t>Оцінка заходу державної підтримки на відповідність критеріям у справі Altmark</w:t>
      </w:r>
    </w:p>
    <w:p w:rsidR="00173655" w:rsidRPr="00173655" w:rsidRDefault="00173655" w:rsidP="00173655">
      <w:pPr>
        <w:ind w:left="66"/>
        <w:jc w:val="both"/>
        <w:rPr>
          <w:b/>
        </w:rPr>
      </w:pPr>
    </w:p>
    <w:p w:rsidR="00173655" w:rsidRPr="00173655" w:rsidRDefault="00173655" w:rsidP="0013484C">
      <w:pPr>
        <w:numPr>
          <w:ilvl w:val="0"/>
          <w:numId w:val="35"/>
        </w:numPr>
        <w:tabs>
          <w:tab w:val="clear" w:pos="-180"/>
          <w:tab w:val="num" w:pos="-360"/>
        </w:tabs>
        <w:ind w:left="567" w:hanging="567"/>
        <w:jc w:val="both"/>
      </w:pPr>
      <w:r w:rsidRPr="00173655">
        <w:t xml:space="preserve">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 </w:t>
      </w:r>
    </w:p>
    <w:p w:rsidR="00173655" w:rsidRPr="00173655" w:rsidRDefault="00173655" w:rsidP="00173655">
      <w:pPr>
        <w:tabs>
          <w:tab w:val="num" w:pos="360"/>
        </w:tabs>
        <w:ind w:left="426"/>
        <w:jc w:val="both"/>
      </w:pPr>
    </w:p>
    <w:p w:rsidR="00173655" w:rsidRPr="00173655" w:rsidRDefault="00173655" w:rsidP="0013484C">
      <w:pPr>
        <w:numPr>
          <w:ilvl w:val="0"/>
          <w:numId w:val="35"/>
        </w:numPr>
        <w:tabs>
          <w:tab w:val="clear" w:pos="-180"/>
          <w:tab w:val="num" w:pos="-360"/>
        </w:tabs>
        <w:ind w:left="567" w:hanging="567"/>
        <w:jc w:val="both"/>
      </w:pPr>
      <w:r w:rsidRPr="00173655">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rsidR="00173655" w:rsidRPr="00173655" w:rsidRDefault="00173655" w:rsidP="00173655">
      <w:pPr>
        <w:ind w:left="426"/>
        <w:jc w:val="both"/>
      </w:pPr>
    </w:p>
    <w:p w:rsidR="00173655" w:rsidRPr="00173655" w:rsidRDefault="00173655" w:rsidP="00173655">
      <w:pPr>
        <w:ind w:left="426"/>
        <w:jc w:val="both"/>
      </w:pPr>
      <w:r w:rsidRPr="00173655">
        <w:t xml:space="preserve"> </w:t>
      </w:r>
      <w:r w:rsidRPr="00173655">
        <w:rPr>
          <w:i/>
        </w:rPr>
        <w:t>- суб’єкт господарювання повинен виконувати зобов’язання з обслуговування населення, і ці зобов</w:t>
      </w:r>
      <w:r w:rsidR="008D1557">
        <w:rPr>
          <w:i/>
        </w:rPr>
        <w:t>’</w:t>
      </w:r>
      <w:r w:rsidRPr="00173655">
        <w:rPr>
          <w:i/>
        </w:rPr>
        <w:t>язання чітко встановлені та визначені.</w:t>
      </w:r>
      <w:r w:rsidRPr="00173655">
        <w:t xml:space="preserve"> </w:t>
      </w:r>
    </w:p>
    <w:p w:rsidR="00173655" w:rsidRPr="00173655" w:rsidRDefault="00173655" w:rsidP="00173655">
      <w:pPr>
        <w:ind w:left="426"/>
        <w:jc w:val="both"/>
      </w:pPr>
      <w:r w:rsidRPr="00173655">
        <w:t>Зобов’язання КП «Одесміськеле</w:t>
      </w:r>
      <w:r w:rsidR="00856EFD">
        <w:t>к</w:t>
      </w:r>
      <w:r w:rsidRPr="00173655">
        <w:t>тротранс» з обслуговування населення чітко встановлені та визначені Законом України «Про міський електричний транспорт», Статутом КП «Одесміськеле</w:t>
      </w:r>
      <w:r w:rsidR="00856EFD">
        <w:t>к</w:t>
      </w:r>
      <w:r w:rsidRPr="00173655">
        <w:t xml:space="preserve">тротранс» </w:t>
      </w:r>
      <w:r w:rsidRPr="00173655">
        <w:rPr>
          <w:color w:val="000000"/>
        </w:rPr>
        <w:t>затвердженим рішенням Одеської міської ради </w:t>
      </w:r>
      <w:r w:rsidRPr="00737159">
        <w:rPr>
          <w:color w:val="000000"/>
        </w:rPr>
        <w:t>№ 72-VIII від 03.02.2021</w:t>
      </w:r>
      <w:r w:rsidRPr="00173655">
        <w:t>, договор</w:t>
      </w:r>
      <w:r w:rsidR="00CB7560">
        <w:t>ом</w:t>
      </w:r>
      <w:r w:rsidRPr="00173655">
        <w:t xml:space="preserve"> про організацію надання транспортних послуг і перевезень міським електричним транспортом на 2020 – 2029 роки від 10.12.2020</w:t>
      </w:r>
      <w:r w:rsidR="00856EFD">
        <w:t>,</w:t>
      </w:r>
      <w:r w:rsidRPr="00173655">
        <w:t xml:space="preserve"> укладеним між Департаментом транспорту, зв’язку та організації дорожнього руху Одеської міської ради та КП «Одесміськелектротранс». </w:t>
      </w:r>
    </w:p>
    <w:p w:rsidR="00173655" w:rsidRPr="00173655" w:rsidRDefault="00173655" w:rsidP="00173655">
      <w:pPr>
        <w:ind w:left="426"/>
        <w:jc w:val="both"/>
        <w:rPr>
          <w:u w:val="single"/>
        </w:rPr>
      </w:pPr>
      <w:r w:rsidRPr="00173655">
        <w:rPr>
          <w:u w:val="single"/>
        </w:rPr>
        <w:t xml:space="preserve">Отже, вимогу критерію дотримано; </w:t>
      </w:r>
    </w:p>
    <w:p w:rsidR="00173655" w:rsidRPr="00173655" w:rsidRDefault="00173655" w:rsidP="00173655">
      <w:pPr>
        <w:ind w:left="426"/>
        <w:jc w:val="both"/>
      </w:pPr>
    </w:p>
    <w:p w:rsidR="00173655" w:rsidRPr="00173655" w:rsidRDefault="00173655" w:rsidP="00173655">
      <w:pPr>
        <w:ind w:left="426"/>
        <w:jc w:val="both"/>
        <w:rPr>
          <w:i/>
        </w:rPr>
      </w:pPr>
      <w:r w:rsidRPr="00173655">
        <w:rPr>
          <w:i/>
        </w:rPr>
        <w:t xml:space="preserve">- параметри, на підставі яких розраховується компенсація, визначені заздалегідь об’єктивним і прозорим способом. </w:t>
      </w:r>
    </w:p>
    <w:p w:rsidR="00173655" w:rsidRPr="00173655" w:rsidRDefault="00173655" w:rsidP="00173655">
      <w:pPr>
        <w:ind w:left="426"/>
        <w:jc w:val="both"/>
      </w:pPr>
    </w:p>
    <w:p w:rsidR="00173655" w:rsidRPr="00173655" w:rsidRDefault="00173655" w:rsidP="00173655">
      <w:pPr>
        <w:ind w:left="426"/>
        <w:jc w:val="both"/>
      </w:pPr>
      <w:r w:rsidRPr="00173655">
        <w:t>Надавач не надав належним чином затверджен</w:t>
      </w:r>
      <w:r w:rsidR="008D1557">
        <w:t>ої</w:t>
      </w:r>
      <w:r w:rsidRPr="00173655">
        <w:t xml:space="preserve"> методик</w:t>
      </w:r>
      <w:r w:rsidR="008D1557">
        <w:t>и</w:t>
      </w:r>
      <w:r w:rsidRPr="00173655">
        <w:t xml:space="preserve">, що повинна містити </w:t>
      </w:r>
      <w:r w:rsidR="008D1557">
        <w:t>в</w:t>
      </w:r>
      <w:r w:rsidR="008D1557" w:rsidRPr="00173655">
        <w:t xml:space="preserve"> </w:t>
      </w:r>
      <w:r w:rsidRPr="00173655">
        <w:t xml:space="preserve">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173655" w:rsidRPr="00173655" w:rsidRDefault="00173655" w:rsidP="00173655">
      <w:pPr>
        <w:ind w:left="426"/>
        <w:jc w:val="both"/>
        <w:rPr>
          <w:u w:val="single"/>
        </w:rPr>
      </w:pPr>
      <w:r w:rsidRPr="00173655">
        <w:rPr>
          <w:u w:val="single"/>
        </w:rPr>
        <w:t xml:space="preserve">Отже, вимогу критерію не дотримано; </w:t>
      </w:r>
    </w:p>
    <w:p w:rsidR="00173655" w:rsidRPr="00173655" w:rsidRDefault="00173655" w:rsidP="00173655">
      <w:pPr>
        <w:ind w:left="426"/>
        <w:jc w:val="both"/>
      </w:pPr>
    </w:p>
    <w:p w:rsidR="00173655" w:rsidRPr="00173655" w:rsidRDefault="00173655" w:rsidP="005A0007">
      <w:pPr>
        <w:ind w:left="426"/>
        <w:jc w:val="both"/>
      </w:pPr>
      <w:r w:rsidRPr="00173655">
        <w:t>-</w:t>
      </w:r>
      <w:r w:rsidRPr="00173655">
        <w:tab/>
      </w:r>
      <w:r w:rsidRPr="00173655">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008D1557">
        <w:rPr>
          <w:i/>
        </w:rPr>
        <w:t>.</w:t>
      </w:r>
    </w:p>
    <w:p w:rsidR="00173655" w:rsidRPr="00173655" w:rsidRDefault="00173655" w:rsidP="00173655">
      <w:pPr>
        <w:ind w:left="426"/>
        <w:jc w:val="both"/>
      </w:pPr>
      <w:r w:rsidRPr="00173655">
        <w:t>Надавачем не доведено, що компенсація КП «Одесміськелектротранс» не є надмірною з урахуванням відповідного доходу та обґрунтованого прибутку за виконання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173655" w:rsidRPr="00173655" w:rsidRDefault="00173655" w:rsidP="00173655">
      <w:pPr>
        <w:ind w:left="426"/>
        <w:jc w:val="both"/>
        <w:rPr>
          <w:u w:val="single"/>
        </w:rPr>
      </w:pPr>
      <w:r w:rsidRPr="00173655">
        <w:rPr>
          <w:u w:val="single"/>
        </w:rPr>
        <w:t>Отже, вимогу критерію не дотримано;</w:t>
      </w:r>
    </w:p>
    <w:p w:rsidR="00173655" w:rsidRPr="00173655" w:rsidRDefault="00173655" w:rsidP="00173655">
      <w:pPr>
        <w:ind w:left="426"/>
        <w:jc w:val="both"/>
      </w:pPr>
    </w:p>
    <w:p w:rsidR="00173655" w:rsidRPr="00173655" w:rsidRDefault="00173655" w:rsidP="00737159">
      <w:pPr>
        <w:ind w:left="426"/>
        <w:jc w:val="both"/>
      </w:pPr>
      <w:r w:rsidRPr="00173655">
        <w:rPr>
          <w:i/>
        </w:rPr>
        <w:t>- 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008D1557">
        <w:rPr>
          <w:i/>
        </w:rPr>
        <w:t>.</w:t>
      </w:r>
      <w:r w:rsidRPr="00173655">
        <w:t xml:space="preserve"> </w:t>
      </w:r>
    </w:p>
    <w:p w:rsidR="00173655" w:rsidRPr="00173655" w:rsidRDefault="00173655" w:rsidP="00173655">
      <w:pPr>
        <w:ind w:left="360"/>
        <w:jc w:val="both"/>
      </w:pPr>
      <w:r w:rsidRPr="00173655">
        <w:t xml:space="preserve">Закон України «Про міський електричний транспорт» не передбачає проведення конкурсу з перевезення пасажирів електричним транспортом на маршрутах загального користування. Проте </w:t>
      </w:r>
      <w:r w:rsidR="00856EFD">
        <w:t>н</w:t>
      </w:r>
      <w:r w:rsidRPr="00173655">
        <w:t>адавач не надав інформації</w:t>
      </w:r>
      <w:r w:rsidR="008D1557">
        <w:t xml:space="preserve"> про те,</w:t>
      </w:r>
      <w:r w:rsidRPr="00173655">
        <w:t xml:space="preserve"> що витрати на надання послуг </w:t>
      </w:r>
      <w:r w:rsidR="008D1557">
        <w:t>і</w:t>
      </w:r>
      <w:r w:rsidRPr="00173655">
        <w:t xml:space="preserve">з перевезення пасажирів було розраховано з урахуванням витрат, яких зазнав би типовий суб’єкт господарювання, </w:t>
      </w:r>
      <w:r w:rsidR="00856EFD">
        <w:t>що</w:t>
      </w:r>
      <w:r w:rsidRPr="00173655">
        <w:t xml:space="preserve"> зміг би надавати такі послуги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008D1557">
        <w:t>.</w:t>
      </w:r>
    </w:p>
    <w:p w:rsidR="00173655" w:rsidRPr="00173655" w:rsidRDefault="00173655" w:rsidP="00173655">
      <w:pPr>
        <w:ind w:left="426"/>
        <w:jc w:val="both"/>
      </w:pPr>
      <w:r w:rsidRPr="00173655">
        <w:rPr>
          <w:u w:val="single"/>
        </w:rPr>
        <w:t>Отже, вимогу критерію не дотримано</w:t>
      </w:r>
      <w:r w:rsidRPr="00173655">
        <w:t>.</w:t>
      </w:r>
    </w:p>
    <w:p w:rsidR="00173655" w:rsidRPr="00173655" w:rsidRDefault="00173655" w:rsidP="00173655">
      <w:pPr>
        <w:tabs>
          <w:tab w:val="left" w:pos="142"/>
          <w:tab w:val="left" w:pos="709"/>
        </w:tabs>
        <w:ind w:left="1276"/>
        <w:jc w:val="both"/>
      </w:pPr>
    </w:p>
    <w:p w:rsidR="00173655" w:rsidRPr="00173655" w:rsidRDefault="00173655" w:rsidP="00173655">
      <w:pPr>
        <w:numPr>
          <w:ilvl w:val="0"/>
          <w:numId w:val="35"/>
        </w:numPr>
        <w:tabs>
          <w:tab w:val="num" w:pos="-360"/>
        </w:tabs>
        <w:ind w:left="360" w:hanging="540"/>
        <w:jc w:val="both"/>
      </w:pPr>
      <w:r w:rsidRPr="00173655">
        <w:t xml:space="preserve"> Отже, </w:t>
      </w:r>
      <w:r w:rsidRPr="00173655">
        <w:rPr>
          <w:shd w:val="clear" w:color="auto" w:fill="FFFFFF"/>
          <w:lang w:eastAsia="ru-RU"/>
        </w:rPr>
        <w:t>Департаментом</w:t>
      </w:r>
      <w:r w:rsidRPr="00173655">
        <w:rPr>
          <w:lang w:eastAsia="ru-RU"/>
        </w:rPr>
        <w:t xml:space="preserve"> міського господарства Одеської міської ради не надано</w:t>
      </w:r>
      <w:r w:rsidRPr="00173655">
        <w:t xml:space="preserve">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щодо кожного конкретного об’єкта. </w:t>
      </w:r>
    </w:p>
    <w:p w:rsidR="00173655" w:rsidRPr="00173655" w:rsidRDefault="00173655" w:rsidP="00173655">
      <w:pPr>
        <w:ind w:left="360"/>
        <w:jc w:val="both"/>
      </w:pPr>
    </w:p>
    <w:p w:rsidR="00173655" w:rsidRPr="00173655" w:rsidRDefault="00173655" w:rsidP="0013484C">
      <w:pPr>
        <w:numPr>
          <w:ilvl w:val="0"/>
          <w:numId w:val="35"/>
        </w:numPr>
        <w:tabs>
          <w:tab w:val="num" w:pos="-360"/>
        </w:tabs>
        <w:ind w:left="360" w:hanging="540"/>
        <w:jc w:val="both"/>
      </w:pPr>
      <w:r w:rsidRPr="00173655">
        <w:rPr>
          <w:shd w:val="clear" w:color="auto" w:fill="FFFFFF"/>
          <w:lang w:eastAsia="ru-RU"/>
        </w:rPr>
        <w:t> </w:t>
      </w:r>
      <w:r w:rsidRPr="0013484C">
        <w:t>Враховуючи</w:t>
      </w:r>
      <w:r w:rsidRPr="00173655">
        <w:t xml:space="preserve"> викладене, </w:t>
      </w:r>
      <w:r w:rsidRPr="00173655">
        <w:rPr>
          <w:u w:val="single"/>
        </w:rPr>
        <w:t>чотирьох сукупних критеріїв Altmark кумулятивно не дотримано</w:t>
      </w:r>
      <w:r w:rsidRPr="00173655">
        <w:t>.</w:t>
      </w:r>
    </w:p>
    <w:p w:rsidR="00173655" w:rsidRPr="00173655" w:rsidRDefault="00173655" w:rsidP="00173655">
      <w:pPr>
        <w:ind w:left="360"/>
        <w:jc w:val="both"/>
      </w:pPr>
    </w:p>
    <w:p w:rsidR="00173655" w:rsidRDefault="00173655" w:rsidP="00737159">
      <w:pPr>
        <w:numPr>
          <w:ilvl w:val="0"/>
          <w:numId w:val="35"/>
        </w:numPr>
        <w:tabs>
          <w:tab w:val="num" w:pos="-360"/>
        </w:tabs>
        <w:ind w:left="360" w:hanging="540"/>
        <w:jc w:val="both"/>
      </w:pPr>
      <w:r w:rsidRPr="00173655">
        <w:t xml:space="preserve"> Отже, </w:t>
      </w:r>
      <w:r w:rsidRPr="00173655">
        <w:rPr>
          <w:shd w:val="clear" w:color="auto" w:fill="FFFFFF"/>
          <w:lang w:eastAsia="ru-RU"/>
        </w:rPr>
        <w:t>державна</w:t>
      </w:r>
      <w:r w:rsidRPr="00173655">
        <w:t xml:space="preserve"> підтримка для здійснення заходів щодо компенсації витрат за надання послуг </w:t>
      </w:r>
      <w:r w:rsidR="008D1557">
        <w:t>і</w:t>
      </w:r>
      <w:r w:rsidRPr="00173655">
        <w:t xml:space="preserve">з перевезення пасажирів міським електричним транспортом </w:t>
      </w:r>
      <w:r w:rsidRPr="00173655">
        <w:rPr>
          <w:b/>
        </w:rPr>
        <w:t>не може вважатися компенсацією обґрунтованих витрат</w:t>
      </w:r>
      <w:r w:rsidRPr="00173655">
        <w:t xml:space="preserve"> на надання послуг, що становлять загальний економічний інтерес, відповідно до частини другої статті 3 Закону.</w:t>
      </w:r>
    </w:p>
    <w:p w:rsidR="00B63E8F" w:rsidRPr="00173655" w:rsidRDefault="00B63E8F" w:rsidP="00173655">
      <w:pPr>
        <w:ind w:left="426"/>
        <w:jc w:val="both"/>
      </w:pPr>
    </w:p>
    <w:p w:rsidR="00173655" w:rsidRPr="008D1557" w:rsidRDefault="00173655" w:rsidP="00737159">
      <w:pPr>
        <w:numPr>
          <w:ilvl w:val="1"/>
          <w:numId w:val="33"/>
        </w:numPr>
        <w:ind w:left="567" w:hanging="709"/>
        <w:jc w:val="both"/>
        <w:rPr>
          <w:b/>
          <w:bCs/>
        </w:rPr>
      </w:pPr>
      <w:r w:rsidRPr="00173655">
        <w:rPr>
          <w:b/>
        </w:rPr>
        <w:t>Визначення належності заходу в частині фінансування витрат</w:t>
      </w:r>
      <w:r w:rsidR="005A0007">
        <w:rPr>
          <w:b/>
        </w:rPr>
        <w:t>,</w:t>
      </w:r>
      <w:r w:rsidRPr="00173655">
        <w:rPr>
          <w:b/>
        </w:rPr>
        <w:t xml:space="preserve"> пов’язаних </w:t>
      </w:r>
      <w:r w:rsidR="005A0007">
        <w:rPr>
          <w:b/>
        </w:rPr>
        <w:t>і</w:t>
      </w:r>
      <w:r w:rsidRPr="00173655">
        <w:rPr>
          <w:b/>
        </w:rPr>
        <w:t xml:space="preserve">з наданням послуг </w:t>
      </w:r>
      <w:r w:rsidR="005A0007">
        <w:rPr>
          <w:b/>
        </w:rPr>
        <w:t>і</w:t>
      </w:r>
      <w:r w:rsidRPr="00173655">
        <w:rPr>
          <w:b/>
        </w:rPr>
        <w:t>з перевезення пасажирів міським електричним транспортом</w:t>
      </w:r>
      <w:r w:rsidR="005A0007">
        <w:rPr>
          <w:b/>
        </w:rPr>
        <w:t>,</w:t>
      </w:r>
      <w:r w:rsidRPr="00173655">
        <w:rPr>
          <w:b/>
        </w:rPr>
        <w:t xml:space="preserve"> до державної допомоги </w:t>
      </w:r>
    </w:p>
    <w:p w:rsidR="008D1557" w:rsidRPr="00173655" w:rsidRDefault="00173655" w:rsidP="00737159">
      <w:pPr>
        <w:pStyle w:val="rvps2"/>
        <w:numPr>
          <w:ilvl w:val="2"/>
          <w:numId w:val="33"/>
        </w:numPr>
        <w:spacing w:before="0" w:beforeAutospacing="0" w:after="0" w:afterAutospacing="0"/>
        <w:ind w:hanging="1222"/>
        <w:jc w:val="both"/>
        <w:rPr>
          <w:b/>
          <w:lang w:val="uk-UA"/>
        </w:rPr>
      </w:pPr>
      <w:r w:rsidRPr="00173655">
        <w:rPr>
          <w:b/>
          <w:lang w:val="uk-UA"/>
        </w:rPr>
        <w:t xml:space="preserve">Надання підтримки суб’єкту господарювання </w:t>
      </w:r>
    </w:p>
    <w:p w:rsidR="00173655" w:rsidRPr="008D1557" w:rsidRDefault="00173655" w:rsidP="00737159">
      <w:pPr>
        <w:pStyle w:val="rvps2"/>
        <w:spacing w:before="0" w:beforeAutospacing="0" w:after="0" w:afterAutospacing="0"/>
        <w:ind w:left="1080"/>
        <w:jc w:val="both"/>
        <w:rPr>
          <w:lang w:val="uk-UA"/>
        </w:rPr>
      </w:pPr>
    </w:p>
    <w:p w:rsidR="00173655" w:rsidRPr="00173655" w:rsidRDefault="00173655" w:rsidP="00173655">
      <w:pPr>
        <w:numPr>
          <w:ilvl w:val="0"/>
          <w:numId w:val="35"/>
        </w:numPr>
        <w:tabs>
          <w:tab w:val="num" w:pos="-360"/>
        </w:tabs>
        <w:ind w:left="360" w:hanging="540"/>
        <w:jc w:val="both"/>
      </w:pPr>
      <w:r w:rsidRPr="00173655">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w:t>
      </w:r>
      <w:r w:rsidRPr="00173655">
        <w:lastRenderedPageBreak/>
        <w:t>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73655" w:rsidRPr="00173655" w:rsidRDefault="00173655" w:rsidP="00173655">
      <w:pPr>
        <w:pStyle w:val="rvps2"/>
        <w:spacing w:before="0" w:beforeAutospacing="0" w:after="0" w:afterAutospacing="0"/>
        <w:ind w:left="360"/>
        <w:jc w:val="both"/>
        <w:rPr>
          <w:lang w:val="uk-UA"/>
        </w:rPr>
      </w:pPr>
    </w:p>
    <w:p w:rsidR="00173655" w:rsidRPr="00173655" w:rsidRDefault="00173655" w:rsidP="00173655">
      <w:pPr>
        <w:numPr>
          <w:ilvl w:val="0"/>
          <w:numId w:val="35"/>
        </w:numPr>
        <w:tabs>
          <w:tab w:val="num" w:pos="-360"/>
        </w:tabs>
        <w:ind w:left="360" w:hanging="540"/>
        <w:jc w:val="both"/>
      </w:pPr>
      <w:r w:rsidRPr="00173655">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173655" w:rsidRPr="00173655" w:rsidRDefault="00173655" w:rsidP="00173655">
      <w:pPr>
        <w:pStyle w:val="rvps2"/>
        <w:spacing w:before="0" w:beforeAutospacing="0" w:after="0" w:afterAutospacing="0"/>
        <w:ind w:left="360"/>
        <w:jc w:val="both"/>
        <w:rPr>
          <w:lang w:val="uk-UA"/>
        </w:rPr>
      </w:pPr>
    </w:p>
    <w:p w:rsidR="00173655" w:rsidRPr="00173655" w:rsidRDefault="00173655" w:rsidP="00173655">
      <w:pPr>
        <w:numPr>
          <w:ilvl w:val="0"/>
          <w:numId w:val="35"/>
        </w:numPr>
        <w:tabs>
          <w:tab w:val="num" w:pos="-360"/>
        </w:tabs>
        <w:ind w:left="360" w:hanging="540"/>
        <w:jc w:val="both"/>
        <w:rPr>
          <w:lang w:eastAsia="ru-RU"/>
        </w:rPr>
      </w:pPr>
      <w:r w:rsidRPr="00173655">
        <w:t>Відповідно</w:t>
      </w:r>
      <w:r w:rsidRPr="00173655">
        <w:rPr>
          <w:lang w:eastAsia="ru-RU"/>
        </w:rPr>
        <w:t xml:space="preserve"> до статті 1 Закону України «</w:t>
      </w:r>
      <w:r w:rsidRPr="00173655">
        <w:t>Про міський електричний транспорт</w:t>
      </w:r>
      <w:r w:rsidRPr="00173655">
        <w:rPr>
          <w:lang w:eastAsia="ru-RU"/>
        </w:rPr>
        <w:t>», перевізник</w:t>
      </w:r>
      <w:r w:rsidR="008876C3">
        <w:rPr>
          <w:lang w:eastAsia="ru-RU"/>
        </w:rPr>
        <w:t> </w:t>
      </w:r>
      <w:r w:rsidRPr="00173655">
        <w:rPr>
          <w:lang w:eastAsia="ru-RU"/>
        </w:rPr>
        <w:t>- юридична особа, яка в установленому законодавством порядку надає транспортні послуги, здійснюючи експлуатацію та утримання об’єктів міського електричного транспорту.</w:t>
      </w:r>
    </w:p>
    <w:p w:rsidR="00173655" w:rsidRPr="00173655" w:rsidRDefault="00173655" w:rsidP="00173655">
      <w:pPr>
        <w:ind w:left="720"/>
        <w:contextualSpacing/>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t xml:space="preserve">Отже, за </w:t>
      </w:r>
      <w:r w:rsidRPr="00173655">
        <w:t>наведених</w:t>
      </w:r>
      <w:r w:rsidRPr="00173655">
        <w:rPr>
          <w:lang w:eastAsia="ru-RU"/>
        </w:rPr>
        <w:t xml:space="preserve"> умов КП «Одесміськелектротранс» </w:t>
      </w:r>
      <w:r w:rsidRPr="00173655">
        <w:rPr>
          <w:u w:val="single"/>
          <w:lang w:eastAsia="ru-RU"/>
        </w:rPr>
        <w:t>є суб’єктом господарювання</w:t>
      </w:r>
      <w:r w:rsidRPr="00173655">
        <w:rPr>
          <w:lang w:eastAsia="ru-RU"/>
        </w:rPr>
        <w:t xml:space="preserve"> </w:t>
      </w:r>
      <w:r w:rsidR="00217846">
        <w:rPr>
          <w:lang w:eastAsia="ru-RU"/>
        </w:rPr>
        <w:t>в</w:t>
      </w:r>
      <w:r w:rsidR="00217846" w:rsidRPr="00173655">
        <w:rPr>
          <w:lang w:eastAsia="ru-RU"/>
        </w:rPr>
        <w:t xml:space="preserve"> </w:t>
      </w:r>
      <w:r w:rsidRPr="00173655">
        <w:rPr>
          <w:lang w:eastAsia="ru-RU"/>
        </w:rPr>
        <w:t>розумінні Закону.</w:t>
      </w:r>
    </w:p>
    <w:p w:rsidR="00173655" w:rsidRPr="00173655" w:rsidRDefault="00173655" w:rsidP="00173655">
      <w:pPr>
        <w:jc w:val="both"/>
        <w:rPr>
          <w:lang w:eastAsia="ru-RU"/>
        </w:rPr>
      </w:pPr>
    </w:p>
    <w:p w:rsidR="00173655" w:rsidRPr="00173655" w:rsidRDefault="00173655" w:rsidP="00737159">
      <w:pPr>
        <w:pStyle w:val="rvps2"/>
        <w:numPr>
          <w:ilvl w:val="2"/>
          <w:numId w:val="33"/>
        </w:numPr>
        <w:spacing w:before="0" w:beforeAutospacing="0" w:after="0" w:afterAutospacing="0"/>
        <w:ind w:hanging="1222"/>
        <w:jc w:val="both"/>
        <w:rPr>
          <w:b/>
          <w:lang w:val="uk-UA"/>
        </w:rPr>
      </w:pPr>
      <w:r w:rsidRPr="00173655">
        <w:rPr>
          <w:b/>
          <w:lang w:val="uk-UA"/>
        </w:rPr>
        <w:t xml:space="preserve">Надання підтримки за рахунок місцевих ресурсів </w:t>
      </w:r>
    </w:p>
    <w:p w:rsidR="00173655" w:rsidRPr="00173655" w:rsidRDefault="00173655" w:rsidP="00173655">
      <w:pPr>
        <w:rPr>
          <w:lang w:eastAsia="ru-RU"/>
        </w:rPr>
      </w:pPr>
    </w:p>
    <w:p w:rsidR="00173655" w:rsidRPr="00173655" w:rsidRDefault="00173655" w:rsidP="00173655">
      <w:pPr>
        <w:numPr>
          <w:ilvl w:val="0"/>
          <w:numId w:val="35"/>
        </w:numPr>
        <w:tabs>
          <w:tab w:val="num" w:pos="-360"/>
        </w:tabs>
        <w:ind w:left="360" w:hanging="540"/>
        <w:jc w:val="both"/>
      </w:pPr>
      <w:r w:rsidRPr="00173655">
        <w:rPr>
          <w:lang w:eastAsia="ru-RU"/>
        </w:rPr>
        <w:t>Пунктом</w:t>
      </w:r>
      <w:r w:rsidRPr="00173655">
        <w:t xml:space="preserve"> 4 час</w:t>
      </w:r>
      <w:r w:rsidRPr="00173655">
        <w:rPr>
          <w:lang w:eastAsia="ru-RU"/>
        </w:rPr>
        <w:t>т</w:t>
      </w:r>
      <w:r w:rsidRPr="00173655">
        <w:t xml:space="preserve">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173655" w:rsidRPr="00173655" w:rsidRDefault="00173655" w:rsidP="00173655">
      <w:pPr>
        <w:tabs>
          <w:tab w:val="num" w:pos="-180"/>
        </w:tabs>
        <w:ind w:left="360"/>
        <w:jc w:val="both"/>
      </w:pPr>
    </w:p>
    <w:p w:rsidR="00173655" w:rsidRPr="00173655" w:rsidRDefault="00173655" w:rsidP="00173655">
      <w:pPr>
        <w:numPr>
          <w:ilvl w:val="0"/>
          <w:numId w:val="35"/>
        </w:numPr>
        <w:tabs>
          <w:tab w:val="num" w:pos="-360"/>
        </w:tabs>
        <w:ind w:left="360" w:hanging="540"/>
        <w:jc w:val="both"/>
      </w:pPr>
      <w:r w:rsidRPr="00173655">
        <w:rPr>
          <w:lang w:eastAsia="ru-RU"/>
        </w:rPr>
        <w:t>Відповідно</w:t>
      </w:r>
      <w:r w:rsidRPr="00173655">
        <w:t xml:space="preserve"> до статті 4 Закону державна допомога полягає </w:t>
      </w:r>
      <w:r w:rsidR="00603960">
        <w:t>в</w:t>
      </w:r>
      <w:r w:rsidR="00603960" w:rsidRPr="00173655">
        <w:t xml:space="preserve"> </w:t>
      </w:r>
      <w:r w:rsidRPr="00173655">
        <w:t>переда</w:t>
      </w:r>
      <w:r w:rsidR="00603960">
        <w:t>нні</w:t>
      </w:r>
      <w:r w:rsidRPr="00173655">
        <w:t xml:space="preserve"> ресурсів держави чи місцевих ресурсів окремим суб’єктам господарювання, а також у втратах доходів відповідних бюджетів та може реалізовуватися, зокрема, у формі надання гарантій.</w:t>
      </w:r>
    </w:p>
    <w:p w:rsidR="00173655" w:rsidRPr="00173655" w:rsidRDefault="00173655" w:rsidP="00173655">
      <w:pPr>
        <w:tabs>
          <w:tab w:val="num" w:pos="-180"/>
        </w:tabs>
        <w:jc w:val="both"/>
      </w:pPr>
    </w:p>
    <w:p w:rsidR="00173655" w:rsidRPr="00173655" w:rsidRDefault="00173655" w:rsidP="00173655">
      <w:pPr>
        <w:numPr>
          <w:ilvl w:val="0"/>
          <w:numId w:val="35"/>
        </w:numPr>
        <w:tabs>
          <w:tab w:val="num" w:pos="-360"/>
        </w:tabs>
        <w:ind w:left="360" w:hanging="540"/>
        <w:jc w:val="both"/>
        <w:rPr>
          <w:bCs/>
        </w:rPr>
      </w:pPr>
      <w:r w:rsidRPr="00173655">
        <w:t xml:space="preserve">Отже, </w:t>
      </w:r>
      <w:r w:rsidRPr="00173655">
        <w:rPr>
          <w:lang w:eastAsia="ru-RU"/>
        </w:rPr>
        <w:t>державна</w:t>
      </w:r>
      <w:r w:rsidRPr="00173655">
        <w:t xml:space="preserve"> підтримка КП «Одесміськеле</w:t>
      </w:r>
      <w:r w:rsidR="00C75802">
        <w:t>к</w:t>
      </w:r>
      <w:r w:rsidRPr="00173655">
        <w:t xml:space="preserve">тротранс» </w:t>
      </w:r>
      <w:r w:rsidRPr="00173655">
        <w:rPr>
          <w:bCs/>
        </w:rPr>
        <w:t xml:space="preserve">у формі </w:t>
      </w:r>
      <w:r w:rsidRPr="00173655">
        <w:t>субсидій та поточних трансфертів з бюджету м</w:t>
      </w:r>
      <w:r w:rsidR="00C75802">
        <w:t>іста</w:t>
      </w:r>
      <w:r w:rsidRPr="00173655">
        <w:t xml:space="preserve"> Одеси на утримання та розвиток міського електротранспорту та місцевої гарантії відповідно до Фінансової угоди («Міський громадський транспорт України ІІ»)</w:t>
      </w:r>
      <w:r w:rsidR="00C75802">
        <w:t>,</w:t>
      </w:r>
      <w:r w:rsidRPr="00173655">
        <w:t xml:space="preserve"> укладеної між Україною та Європейським інвестиційним банком</w:t>
      </w:r>
      <w:r w:rsidR="00C75802">
        <w:t>,</w:t>
      </w:r>
      <w:r w:rsidRPr="00173655">
        <w:t xml:space="preserve"> надається </w:t>
      </w:r>
      <w:r w:rsidRPr="00173655">
        <w:rPr>
          <w:u w:val="single"/>
        </w:rPr>
        <w:t>за рахунок місцевих ресурсів</w:t>
      </w:r>
      <w:r w:rsidRPr="00173655">
        <w:t>.</w:t>
      </w:r>
    </w:p>
    <w:p w:rsidR="00173655" w:rsidRPr="00173655" w:rsidRDefault="00173655" w:rsidP="00173655">
      <w:pPr>
        <w:pStyle w:val="rvps2"/>
        <w:spacing w:before="0" w:beforeAutospacing="0" w:after="0" w:afterAutospacing="0"/>
        <w:ind w:left="709"/>
        <w:jc w:val="both"/>
        <w:rPr>
          <w:lang w:val="uk-UA"/>
        </w:rPr>
      </w:pPr>
    </w:p>
    <w:p w:rsidR="00173655" w:rsidRPr="00173655" w:rsidRDefault="00173655" w:rsidP="00737159">
      <w:pPr>
        <w:pStyle w:val="rvps2"/>
        <w:numPr>
          <w:ilvl w:val="2"/>
          <w:numId w:val="33"/>
        </w:numPr>
        <w:spacing w:before="0" w:beforeAutospacing="0" w:after="0" w:afterAutospacing="0"/>
        <w:ind w:left="709" w:hanging="851"/>
        <w:jc w:val="both"/>
        <w:rPr>
          <w:b/>
          <w:lang w:val="uk-UA"/>
        </w:rPr>
      </w:pPr>
      <w:r w:rsidRPr="00173655">
        <w:rPr>
          <w:b/>
          <w:lang w:val="uk-UA"/>
        </w:rPr>
        <w:t>Створення переваги для виробництва окремих видів товарів чи провадження окремих видів господарської діяльності</w:t>
      </w:r>
    </w:p>
    <w:p w:rsidR="00173655" w:rsidRPr="00173655" w:rsidRDefault="00173655" w:rsidP="00173655">
      <w:pPr>
        <w:pStyle w:val="rvps2"/>
        <w:spacing w:before="0" w:beforeAutospacing="0" w:after="0" w:afterAutospacing="0"/>
        <w:ind w:left="360"/>
        <w:jc w:val="both"/>
        <w:rPr>
          <w:lang w:val="uk-UA"/>
        </w:rPr>
      </w:pPr>
    </w:p>
    <w:p w:rsidR="00173655" w:rsidRPr="00173655" w:rsidRDefault="00173655" w:rsidP="00173655">
      <w:pPr>
        <w:numPr>
          <w:ilvl w:val="0"/>
          <w:numId w:val="35"/>
        </w:numPr>
        <w:tabs>
          <w:tab w:val="num" w:pos="-360"/>
        </w:tabs>
        <w:ind w:left="360" w:hanging="540"/>
        <w:jc w:val="both"/>
        <w:rPr>
          <w:b/>
        </w:rPr>
      </w:pPr>
      <w:r w:rsidRPr="00173655">
        <w:t xml:space="preserve">Згідно з </w:t>
      </w:r>
      <w:r w:rsidRPr="00173655">
        <w:rPr>
          <w:lang w:eastAsia="ru-RU"/>
        </w:rPr>
        <w:t>пунктом</w:t>
      </w:r>
      <w:r w:rsidRPr="00173655">
        <w:t xml:space="preserve">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Повідомлення ). </w:t>
      </w:r>
    </w:p>
    <w:p w:rsidR="00173655" w:rsidRPr="00173655" w:rsidRDefault="00173655" w:rsidP="00173655">
      <w:pPr>
        <w:tabs>
          <w:tab w:val="num" w:pos="-180"/>
        </w:tabs>
        <w:jc w:val="both"/>
        <w:rPr>
          <w:b/>
        </w:rPr>
      </w:pPr>
    </w:p>
    <w:p w:rsidR="00173655" w:rsidRPr="00173655" w:rsidRDefault="00173655" w:rsidP="00173655">
      <w:pPr>
        <w:numPr>
          <w:ilvl w:val="0"/>
          <w:numId w:val="35"/>
        </w:numPr>
        <w:tabs>
          <w:tab w:val="num" w:pos="-360"/>
        </w:tabs>
        <w:ind w:left="360" w:hanging="540"/>
        <w:jc w:val="both"/>
        <w:rPr>
          <w:b/>
        </w:rPr>
      </w:pPr>
      <w:r w:rsidRPr="00173655">
        <w:t xml:space="preserve"> Відповідно до пункту 97 Повідомлення Європейської комісії щодо поняття державної допомоги, згідно зі статтею 107 (1) ДФЄС, якщо операція проводилась із застосуванням процедури торгів або на рівних умовах, це є прямим і конкретним доказом її відповідності ринковим умовам.</w:t>
      </w:r>
    </w:p>
    <w:p w:rsidR="00173655" w:rsidRPr="00173655" w:rsidRDefault="00173655" w:rsidP="00173655">
      <w:pPr>
        <w:tabs>
          <w:tab w:val="num" w:pos="-180"/>
        </w:tabs>
        <w:jc w:val="both"/>
        <w:rPr>
          <w:b/>
        </w:rPr>
      </w:pPr>
    </w:p>
    <w:p w:rsidR="00173655" w:rsidRPr="00173655" w:rsidRDefault="00173655" w:rsidP="00173655">
      <w:pPr>
        <w:numPr>
          <w:ilvl w:val="0"/>
          <w:numId w:val="35"/>
        </w:numPr>
        <w:tabs>
          <w:tab w:val="num" w:pos="-360"/>
        </w:tabs>
        <w:ind w:left="360" w:hanging="540"/>
        <w:jc w:val="both"/>
        <w:rPr>
          <w:b/>
        </w:rPr>
      </w:pPr>
      <w:r w:rsidRPr="00173655">
        <w:lastRenderedPageBreak/>
        <w:t xml:space="preserve">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 </w:t>
      </w:r>
    </w:p>
    <w:p w:rsidR="00173655" w:rsidRPr="00173655" w:rsidRDefault="00173655" w:rsidP="00173655">
      <w:pPr>
        <w:tabs>
          <w:tab w:val="num" w:pos="-180"/>
        </w:tabs>
        <w:jc w:val="both"/>
        <w:rPr>
          <w:b/>
        </w:rPr>
      </w:pPr>
    </w:p>
    <w:p w:rsidR="00173655" w:rsidRPr="00173655" w:rsidRDefault="00173655" w:rsidP="00173655">
      <w:pPr>
        <w:numPr>
          <w:ilvl w:val="0"/>
          <w:numId w:val="35"/>
        </w:numPr>
        <w:tabs>
          <w:tab w:val="num" w:pos="-360"/>
        </w:tabs>
        <w:ind w:left="360" w:hanging="540"/>
        <w:jc w:val="both"/>
        <w:rPr>
          <w:b/>
        </w:rPr>
      </w:pPr>
      <w:r w:rsidRPr="00173655">
        <w:t xml:space="preserve">Оскільки </w:t>
      </w:r>
      <w:r w:rsidR="00BB6C14">
        <w:t>о</w:t>
      </w:r>
      <w:r w:rsidRPr="00173655">
        <w:t xml:space="preserve">тримувача не було обрано на умовах конкурентної процедури, не можна стверджувати, що надана </w:t>
      </w:r>
      <w:r w:rsidR="00BB6C14">
        <w:t>о</w:t>
      </w:r>
      <w:r w:rsidRPr="00173655">
        <w:t xml:space="preserve">тримувачу економічна вигода була б доступною для нього за звичайних ринкових умов, без втручання держави. </w:t>
      </w:r>
    </w:p>
    <w:p w:rsidR="00173655" w:rsidRPr="00173655" w:rsidRDefault="00173655" w:rsidP="00173655">
      <w:pPr>
        <w:tabs>
          <w:tab w:val="num" w:pos="-180"/>
        </w:tabs>
        <w:jc w:val="both"/>
        <w:rPr>
          <w:b/>
        </w:rPr>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t xml:space="preserve">Разом із тим </w:t>
      </w:r>
      <w:r w:rsidR="00232A6C">
        <w:t>н</w:t>
      </w:r>
      <w:r w:rsidRPr="00173655">
        <w:t>адавачем</w:t>
      </w:r>
      <w:r w:rsidRPr="00173655">
        <w:rPr>
          <w:lang w:eastAsia="ru-RU"/>
        </w:rPr>
        <w:t xml:space="preserve"> не доведено, що місцева гарантія буде надана на ринкових умовах. Так, відповідно до Повідомлення ЄК щодо гарантій, коли позичальнику не потрібно платити премію або </w:t>
      </w:r>
      <w:r w:rsidR="00BB6C14">
        <w:rPr>
          <w:lang w:eastAsia="ru-RU"/>
        </w:rPr>
        <w:t xml:space="preserve">він </w:t>
      </w:r>
      <w:r w:rsidRPr="00173655">
        <w:rPr>
          <w:lang w:eastAsia="ru-RU"/>
        </w:rPr>
        <w:t xml:space="preserve">сплачує низьку премію, </w:t>
      </w:r>
      <w:r w:rsidR="00BB6C14">
        <w:rPr>
          <w:lang w:eastAsia="ru-RU"/>
        </w:rPr>
        <w:t>то</w:t>
      </w:r>
      <w:r w:rsidRPr="00173655">
        <w:rPr>
          <w:lang w:eastAsia="ru-RU"/>
        </w:rPr>
        <w:t xml:space="preserve"> отримує перевагу. Також без державної гарантії </w:t>
      </w:r>
      <w:r w:rsidR="00BB6C14">
        <w:rPr>
          <w:lang w:eastAsia="ru-RU"/>
        </w:rPr>
        <w:t>о</w:t>
      </w:r>
      <w:r w:rsidRPr="00173655">
        <w:rPr>
          <w:lang w:eastAsia="ru-RU"/>
        </w:rPr>
        <w:t>тримувач не знайде фінансової установи, готової позичати на аналогічних умовах. Отже, державні гарантії можуть сприяти створенню нового бізнесу та дозволяти певним підприємствам збирати гроші для здійснення нової діяльності.</w:t>
      </w:r>
    </w:p>
    <w:p w:rsidR="00173655" w:rsidRPr="00173655" w:rsidRDefault="00173655" w:rsidP="00173655">
      <w:pPr>
        <w:ind w:left="360"/>
        <w:jc w:val="both"/>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t xml:space="preserve">Надавачем </w:t>
      </w:r>
      <w:r w:rsidRPr="00173655">
        <w:t>повідомлено</w:t>
      </w:r>
      <w:r w:rsidRPr="00173655">
        <w:rPr>
          <w:lang w:eastAsia="ru-RU"/>
        </w:rPr>
        <w:t xml:space="preserve">, що плата за надання місцевої гарантії для </w:t>
      </w:r>
      <w:r w:rsidRPr="00173655">
        <w:rPr>
          <w:lang w:eastAsia="ru-RU"/>
        </w:rPr>
        <w:br/>
        <w:t xml:space="preserve">КП «Одесміськелектротранс» буде встановлена </w:t>
      </w:r>
      <w:r w:rsidR="00BB6C14">
        <w:rPr>
          <w:lang w:eastAsia="ru-RU"/>
        </w:rPr>
        <w:t>в</w:t>
      </w:r>
      <w:r w:rsidR="00BB6C14" w:rsidRPr="00173655">
        <w:rPr>
          <w:lang w:eastAsia="ru-RU"/>
        </w:rPr>
        <w:t xml:space="preserve"> </w:t>
      </w:r>
      <w:r w:rsidRPr="00173655">
        <w:rPr>
          <w:lang w:eastAsia="ru-RU"/>
        </w:rPr>
        <w:t xml:space="preserve">сумі </w:t>
      </w:r>
      <w:r w:rsidR="00003B67">
        <w:rPr>
          <w:lang w:eastAsia="ru-RU"/>
        </w:rPr>
        <w:t>однієї</w:t>
      </w:r>
      <w:r w:rsidRPr="00173655">
        <w:rPr>
          <w:lang w:eastAsia="ru-RU"/>
        </w:rPr>
        <w:t xml:space="preserve"> гривн</w:t>
      </w:r>
      <w:r w:rsidR="00003B67">
        <w:rPr>
          <w:lang w:eastAsia="ru-RU"/>
        </w:rPr>
        <w:t>і</w:t>
      </w:r>
      <w:r w:rsidRPr="00173655">
        <w:rPr>
          <w:lang w:eastAsia="ru-RU"/>
        </w:rPr>
        <w:t xml:space="preserve"> щомісячно на період дії місцевої гарантії. Умови надання довгострокового фінансування є найбільш економічно вигідними для КП «Одесміськелектротранс».</w:t>
      </w:r>
      <w:r w:rsidR="00BB6C14">
        <w:rPr>
          <w:lang w:eastAsia="ru-RU"/>
        </w:rPr>
        <w:t> </w:t>
      </w:r>
      <w:r w:rsidRPr="00173655">
        <w:rPr>
          <w:lang w:eastAsia="ru-RU"/>
        </w:rPr>
        <w:t>Надання кредиту на аналогічних та/або більш економічно вигідних умовах на внутрішньому ринку фінансових послуг не здійснюється.</w:t>
      </w:r>
    </w:p>
    <w:p w:rsidR="00173655" w:rsidRPr="00173655" w:rsidRDefault="00173655" w:rsidP="00173655">
      <w:pPr>
        <w:pStyle w:val="af6"/>
        <w:rPr>
          <w:lang w:eastAsia="ru-RU"/>
        </w:rPr>
      </w:pPr>
    </w:p>
    <w:p w:rsidR="00173655" w:rsidRPr="00173655" w:rsidRDefault="00173655" w:rsidP="00173655">
      <w:pPr>
        <w:numPr>
          <w:ilvl w:val="0"/>
          <w:numId w:val="35"/>
        </w:numPr>
        <w:tabs>
          <w:tab w:val="num" w:pos="-360"/>
        </w:tabs>
        <w:ind w:left="360" w:hanging="540"/>
        <w:jc w:val="both"/>
      </w:pPr>
      <w:r w:rsidRPr="00173655">
        <w:t xml:space="preserve">Крім того, </w:t>
      </w:r>
      <w:r w:rsidR="00BB6C14">
        <w:t>н</w:t>
      </w:r>
      <w:r w:rsidRPr="00173655">
        <w:t>адавачем не дотримано умов, викладен</w:t>
      </w:r>
      <w:r w:rsidR="00003B67">
        <w:t>их у</w:t>
      </w:r>
      <w:r w:rsidRPr="00173655">
        <w:t xml:space="preserve"> рішенні Європейського суду від 24.07.2003 № 280/00 у справі Altmark Trans GmbH, Regierungspräsidium Magdeburg v Nahvcrkehrsgesellschaft Altmark GmbH, тобто зазначена підтримка впливає на конкурентну позиці</w:t>
      </w:r>
      <w:r w:rsidR="00B0189E">
        <w:t>ю</w:t>
      </w:r>
      <w:r w:rsidRPr="00173655">
        <w:t xml:space="preserve"> порівняно з конкуруючими</w:t>
      </w:r>
      <w:r w:rsidRPr="00173655">
        <w:rPr>
          <w:color w:val="FF0000"/>
        </w:rPr>
        <w:t xml:space="preserve"> </w:t>
      </w:r>
      <w:r w:rsidRPr="00173655">
        <w:t xml:space="preserve">суб’єктами. </w:t>
      </w:r>
      <w:r w:rsidR="00BB6C14">
        <w:t>Тобто</w:t>
      </w:r>
      <w:r w:rsidRPr="00173655">
        <w:t>, на таку підтримку поширюється дія статті 107 (1) ДФЄС.</w:t>
      </w:r>
    </w:p>
    <w:p w:rsidR="00173655" w:rsidRPr="00173655" w:rsidRDefault="00173655" w:rsidP="00173655">
      <w:pPr>
        <w:ind w:left="360"/>
        <w:jc w:val="both"/>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t>Отже</w:t>
      </w:r>
      <w:r w:rsidRPr="00173655">
        <w:rPr>
          <w:lang w:eastAsia="ru-RU"/>
        </w:rPr>
        <w:t xml:space="preserve">, </w:t>
      </w:r>
      <w:r w:rsidRPr="00173655">
        <w:t>така</w:t>
      </w:r>
      <w:r w:rsidRPr="00173655">
        <w:rPr>
          <w:lang w:eastAsia="ru-RU"/>
        </w:rPr>
        <w:t xml:space="preserve"> підтримка </w:t>
      </w:r>
      <w:r w:rsidRPr="00173655">
        <w:rPr>
          <w:u w:val="single"/>
          <w:lang w:eastAsia="ru-RU"/>
        </w:rPr>
        <w:t>надаватиме КП «Одесміськелектротранс» перевагу</w:t>
      </w:r>
      <w:r w:rsidRPr="00173655">
        <w:rPr>
          <w:lang w:eastAsia="ru-RU"/>
        </w:rPr>
        <w:t>, звільнивши його від витрат, яких в іншому випадку йому довелося б зазнати під час поточної господарської діяльності з перевезення пасажирів у місті Одес</w:t>
      </w:r>
      <w:r w:rsidR="00B0189E">
        <w:rPr>
          <w:lang w:eastAsia="ru-RU"/>
        </w:rPr>
        <w:t>і</w:t>
      </w:r>
      <w:r w:rsidRPr="00173655">
        <w:rPr>
          <w:lang w:eastAsia="ru-RU"/>
        </w:rPr>
        <w:t xml:space="preserve"> та яка недоступна іншим суб’єктам господарювання у звичайних ринкових умовах.</w:t>
      </w:r>
    </w:p>
    <w:p w:rsidR="00173655" w:rsidRPr="00173655" w:rsidRDefault="00173655" w:rsidP="00173655">
      <w:pPr>
        <w:ind w:left="502"/>
        <w:jc w:val="both"/>
      </w:pPr>
    </w:p>
    <w:p w:rsidR="00173655" w:rsidRPr="00173655" w:rsidRDefault="00173655" w:rsidP="00173655">
      <w:pPr>
        <w:pStyle w:val="rvps2"/>
        <w:numPr>
          <w:ilvl w:val="2"/>
          <w:numId w:val="33"/>
        </w:numPr>
        <w:spacing w:before="0" w:beforeAutospacing="0" w:after="0" w:afterAutospacing="0"/>
        <w:ind w:left="709"/>
        <w:jc w:val="both"/>
        <w:rPr>
          <w:b/>
          <w:lang w:val="uk-UA"/>
        </w:rPr>
      </w:pPr>
      <w:r w:rsidRPr="00173655">
        <w:rPr>
          <w:b/>
          <w:lang w:val="uk-UA"/>
        </w:rPr>
        <w:t>Спотворення або загроза спотворення економічної конкуренції</w:t>
      </w:r>
    </w:p>
    <w:p w:rsidR="00173655" w:rsidRPr="00173655" w:rsidRDefault="00173655" w:rsidP="00173655">
      <w:pPr>
        <w:pStyle w:val="rvps2"/>
        <w:spacing w:before="0" w:beforeAutospacing="0" w:after="0" w:afterAutospacing="0"/>
        <w:ind w:left="709"/>
        <w:jc w:val="both"/>
        <w:rPr>
          <w:b/>
          <w:lang w:val="uk-UA"/>
        </w:rPr>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t xml:space="preserve">Згідно зі </w:t>
      </w:r>
      <w:r w:rsidRPr="00173655">
        <w:t>статтею</w:t>
      </w:r>
      <w:r w:rsidRPr="00173655">
        <w:rPr>
          <w:lang w:eastAsia="ru-RU"/>
        </w:rPr>
        <w:t xml:space="preserve">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173655" w:rsidRPr="00173655" w:rsidRDefault="00173655" w:rsidP="00173655">
      <w:pPr>
        <w:ind w:left="360"/>
        <w:jc w:val="both"/>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173655" w:rsidRPr="00173655" w:rsidRDefault="00173655" w:rsidP="00173655">
      <w:pPr>
        <w:ind w:left="360"/>
        <w:jc w:val="both"/>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rPr>
          <w:lang w:eastAsia="ru-RU"/>
        </w:rPr>
        <w:lastRenderedPageBreak/>
        <w:t>Відповідно до пункту 187 Повідомлення ЄК щодо поняття державної допомоги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ДФЄС, існує тоді, коли держава надає фінансові переваги суб’єкту господарювання в лібералізованому секторі, де існує або може існувати конкуренція.</w:t>
      </w:r>
    </w:p>
    <w:p w:rsidR="00173655" w:rsidRPr="00173655" w:rsidRDefault="00173655" w:rsidP="00173655">
      <w:pPr>
        <w:pStyle w:val="af6"/>
        <w:rPr>
          <w:lang w:eastAsia="ru-RU"/>
        </w:rPr>
      </w:pPr>
    </w:p>
    <w:p w:rsidR="00173655" w:rsidRPr="00173655" w:rsidRDefault="00173655" w:rsidP="00173655">
      <w:pPr>
        <w:numPr>
          <w:ilvl w:val="0"/>
          <w:numId w:val="35"/>
        </w:numPr>
        <w:tabs>
          <w:tab w:val="num" w:pos="-360"/>
        </w:tabs>
        <w:ind w:left="360" w:hanging="540"/>
        <w:jc w:val="both"/>
        <w:rPr>
          <w:u w:val="single"/>
          <w:lang w:eastAsia="ru-RU"/>
        </w:rPr>
      </w:pPr>
      <w:r w:rsidRPr="00173655">
        <w:rPr>
          <w:lang w:eastAsia="ru-RU"/>
        </w:rPr>
        <w:t>Враховуючи</w:t>
      </w:r>
      <w:r w:rsidRPr="00173655">
        <w:rPr>
          <w:color w:val="000000"/>
        </w:rPr>
        <w:t xml:space="preserve"> те, що ринки з перевезення пасажирів є потенційно конкурентними, надання державної підтримки КП «Одесміськелектротранс» </w:t>
      </w:r>
      <w:r w:rsidRPr="00173655">
        <w:rPr>
          <w:bCs/>
        </w:rPr>
        <w:t xml:space="preserve">у формі </w:t>
      </w:r>
      <w:r w:rsidRPr="00173655">
        <w:t>субсидій та поточних трансфертів з бюджету м</w:t>
      </w:r>
      <w:r w:rsidR="00851682">
        <w:t>іста</w:t>
      </w:r>
      <w:r w:rsidRPr="00173655">
        <w:t xml:space="preserve"> Одеси на утримання та розвиток міського електротранспорту </w:t>
      </w:r>
      <w:r w:rsidR="00851682">
        <w:t>й</w:t>
      </w:r>
      <w:r w:rsidR="00851682" w:rsidRPr="00173655">
        <w:t xml:space="preserve"> </w:t>
      </w:r>
      <w:r w:rsidRPr="00173655">
        <w:t>місцевої гарантії відповідно до Фінансової угоди («Міський громадський транспорт України ІІ»)</w:t>
      </w:r>
      <w:r w:rsidR="00851682">
        <w:t>,</w:t>
      </w:r>
      <w:r w:rsidRPr="00173655">
        <w:t xml:space="preserve"> укладеної між Україною та Європейським інвестиційним банком</w:t>
      </w:r>
      <w:r w:rsidRPr="00173655">
        <w:rPr>
          <w:color w:val="000000"/>
        </w:rPr>
        <w:t xml:space="preserve">, </w:t>
      </w:r>
      <w:r w:rsidRPr="00173655">
        <w:rPr>
          <w:bCs/>
          <w:color w:val="000000"/>
          <w:u w:val="single"/>
        </w:rPr>
        <w:t>спотворює економічну конкуренцію</w:t>
      </w:r>
      <w:r w:rsidRPr="00173655">
        <w:rPr>
          <w:u w:val="single"/>
          <w:lang w:eastAsia="ru-RU"/>
        </w:rPr>
        <w:t>.</w:t>
      </w:r>
    </w:p>
    <w:p w:rsidR="00173655" w:rsidRPr="00173655" w:rsidRDefault="00173655" w:rsidP="00173655">
      <w:pPr>
        <w:pStyle w:val="rvps2"/>
        <w:spacing w:before="0" w:beforeAutospacing="0" w:after="0" w:afterAutospacing="0"/>
        <w:ind w:left="709"/>
        <w:jc w:val="both"/>
        <w:rPr>
          <w:b/>
          <w:lang w:val="uk-UA"/>
        </w:rPr>
      </w:pPr>
    </w:p>
    <w:p w:rsidR="00173655" w:rsidRPr="00173655" w:rsidRDefault="00173655" w:rsidP="00173655">
      <w:pPr>
        <w:pStyle w:val="rvps2"/>
        <w:numPr>
          <w:ilvl w:val="2"/>
          <w:numId w:val="33"/>
        </w:numPr>
        <w:spacing w:before="0" w:beforeAutospacing="0" w:after="0" w:afterAutospacing="0"/>
        <w:ind w:left="709"/>
        <w:jc w:val="both"/>
        <w:rPr>
          <w:b/>
          <w:lang w:val="uk-UA"/>
        </w:rPr>
      </w:pPr>
      <w:r w:rsidRPr="00173655">
        <w:rPr>
          <w:b/>
          <w:lang w:val="uk-UA"/>
        </w:rPr>
        <w:t>Віднесення повідомленої державної підтримки до державної допомоги</w:t>
      </w:r>
    </w:p>
    <w:p w:rsidR="00173655" w:rsidRPr="00173655" w:rsidRDefault="00173655" w:rsidP="00173655">
      <w:pPr>
        <w:pStyle w:val="rvps2"/>
        <w:spacing w:before="0" w:beforeAutospacing="0" w:after="0" w:afterAutospacing="0"/>
        <w:ind w:left="709"/>
        <w:jc w:val="both"/>
        <w:rPr>
          <w:b/>
          <w:lang w:val="uk-UA"/>
        </w:rPr>
      </w:pPr>
    </w:p>
    <w:p w:rsidR="00173655" w:rsidRPr="00173655" w:rsidRDefault="00173655" w:rsidP="00173655">
      <w:pPr>
        <w:numPr>
          <w:ilvl w:val="0"/>
          <w:numId w:val="35"/>
        </w:numPr>
        <w:tabs>
          <w:tab w:val="num" w:pos="-360"/>
        </w:tabs>
        <w:ind w:left="360" w:hanging="540"/>
        <w:jc w:val="both"/>
      </w:pPr>
      <w:r w:rsidRPr="00173655">
        <w:rPr>
          <w:lang w:eastAsia="ru-RU"/>
        </w:rPr>
        <w:t>Враховуючи</w:t>
      </w:r>
      <w:r w:rsidRPr="00173655">
        <w:t xml:space="preserve"> наведене, підтримка, яку надає Департамент міського господарства Одеської міської ради КП «Одесміськелектротранс» у формі субсидій та поточних трансфертів </w:t>
      </w:r>
      <w:r w:rsidR="00851682">
        <w:t>і</w:t>
      </w:r>
      <w:r w:rsidRPr="00173655">
        <w:t>з бюджету м</w:t>
      </w:r>
      <w:r w:rsidR="00851682">
        <w:t>іста</w:t>
      </w:r>
      <w:r w:rsidRPr="00173655">
        <w:t xml:space="preserve"> Одеси на утримання та розвиток міського електротранспорту та місцевої гарантії відповідно до Фінансової угоди («Міський громадський транспорт України ІІ»)</w:t>
      </w:r>
      <w:r w:rsidR="00851682">
        <w:t>,</w:t>
      </w:r>
      <w:r w:rsidRPr="00173655">
        <w:t xml:space="preserve"> укладеної між Україною та Європейським інвестиційним банком відповідно до проєкту Міської цільової програми розвитку електротранспорту м. Одеси на 2022 – 2026 роки, </w:t>
      </w:r>
      <w:r w:rsidRPr="00173655">
        <w:rPr>
          <w:u w:val="single"/>
        </w:rPr>
        <w:t>є державною допомогою</w:t>
      </w:r>
      <w:r w:rsidRPr="00173655">
        <w:t xml:space="preserve"> відповідно до Закону України «Про державну допомогу суб’єктам господарювання».</w:t>
      </w:r>
    </w:p>
    <w:p w:rsidR="00173655" w:rsidRPr="00173655" w:rsidRDefault="00173655" w:rsidP="00173655">
      <w:pPr>
        <w:ind w:left="502"/>
        <w:jc w:val="both"/>
      </w:pPr>
    </w:p>
    <w:p w:rsidR="00173655" w:rsidRPr="00173655" w:rsidRDefault="00173655" w:rsidP="00737159">
      <w:pPr>
        <w:pStyle w:val="rvps2"/>
        <w:numPr>
          <w:ilvl w:val="1"/>
          <w:numId w:val="33"/>
        </w:numPr>
        <w:spacing w:before="0" w:beforeAutospacing="0" w:after="0" w:afterAutospacing="0"/>
        <w:ind w:left="709" w:hanging="851"/>
        <w:jc w:val="both"/>
        <w:rPr>
          <w:b/>
          <w:lang w:val="uk-UA"/>
        </w:rPr>
      </w:pPr>
      <w:r w:rsidRPr="00173655">
        <w:rPr>
          <w:b/>
          <w:lang w:val="uk-UA"/>
        </w:rPr>
        <w:t>Оцінка допустимості державної допомоги</w:t>
      </w:r>
    </w:p>
    <w:p w:rsidR="00173655" w:rsidRPr="00173655" w:rsidRDefault="00173655" w:rsidP="00173655">
      <w:pPr>
        <w:ind w:left="567"/>
        <w:jc w:val="both"/>
        <w:rPr>
          <w:b/>
          <w:bCs/>
        </w:rPr>
      </w:pPr>
    </w:p>
    <w:p w:rsidR="00173655" w:rsidRPr="00173655" w:rsidRDefault="00173655" w:rsidP="00173655">
      <w:pPr>
        <w:numPr>
          <w:ilvl w:val="0"/>
          <w:numId w:val="35"/>
        </w:numPr>
        <w:tabs>
          <w:tab w:val="num" w:pos="-360"/>
        </w:tabs>
        <w:ind w:left="360" w:hanging="540"/>
        <w:jc w:val="both"/>
      </w:pPr>
      <w:r w:rsidRPr="00173655">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173655" w:rsidRPr="00173655" w:rsidRDefault="00173655" w:rsidP="00173655">
      <w:pPr>
        <w:tabs>
          <w:tab w:val="num" w:pos="-180"/>
        </w:tabs>
        <w:ind w:left="360"/>
        <w:jc w:val="both"/>
      </w:pPr>
    </w:p>
    <w:p w:rsidR="00173655" w:rsidRPr="00173655" w:rsidRDefault="00173655" w:rsidP="00173655">
      <w:pPr>
        <w:numPr>
          <w:ilvl w:val="0"/>
          <w:numId w:val="35"/>
        </w:numPr>
        <w:tabs>
          <w:tab w:val="num" w:pos="-360"/>
        </w:tabs>
        <w:ind w:left="360" w:hanging="540"/>
        <w:jc w:val="both"/>
      </w:pPr>
      <w:r w:rsidRPr="00173655">
        <w:t>З урахуванням визначення в пункті 14 частини першої статті 1 Закону та відповідного тлумачення в актах законодавства ЄС понят</w:t>
      </w:r>
      <w:r w:rsidR="004223E1">
        <w:t>тя ПЗЕІ, здійсненого відповідно до статті 264 Угоди про  асоціацію між Україною та ЄС</w:t>
      </w:r>
      <w:r w:rsidR="006342AF">
        <w:t>,</w:t>
      </w:r>
      <w:r w:rsidRPr="00173655">
        <w:t xml:space="preserve"> послуга </w:t>
      </w:r>
      <w:r w:rsidRPr="00737159">
        <w:t>з</w:t>
      </w:r>
      <w:r w:rsidRPr="00173655">
        <w:rPr>
          <w:b/>
        </w:rPr>
        <w:t xml:space="preserve"> </w:t>
      </w:r>
      <w:r w:rsidRPr="00173655">
        <w:t>перевезення пасажирів міським електричним транспортом є послугою загального економічного інтересу, не може надаватис</w:t>
      </w:r>
      <w:r w:rsidR="006342AF">
        <w:t>я</w:t>
      </w:r>
      <w:r w:rsidRPr="00173655">
        <w:t xml:space="preserve"> без державної допомоги </w:t>
      </w:r>
      <w:r w:rsidR="006342AF">
        <w:t>й</w:t>
      </w:r>
      <w:r w:rsidR="006342AF" w:rsidRPr="00173655">
        <w:t xml:space="preserve"> </w:t>
      </w:r>
      <w:r w:rsidRPr="00173655">
        <w:t>така державна допомога може бути визнана допустимою відповідно до частини першої статті 6 Закону.</w:t>
      </w:r>
    </w:p>
    <w:p w:rsidR="00173655" w:rsidRPr="00173655" w:rsidRDefault="00173655" w:rsidP="00173655">
      <w:pPr>
        <w:pStyle w:val="rvps2"/>
        <w:spacing w:before="0" w:beforeAutospacing="0" w:after="0" w:afterAutospacing="0"/>
        <w:ind w:left="360"/>
        <w:jc w:val="both"/>
        <w:rPr>
          <w:lang w:val="uk-UA"/>
        </w:rPr>
      </w:pPr>
    </w:p>
    <w:p w:rsidR="00173655" w:rsidRPr="00173655" w:rsidRDefault="00173655" w:rsidP="00173655">
      <w:pPr>
        <w:numPr>
          <w:ilvl w:val="0"/>
          <w:numId w:val="35"/>
        </w:numPr>
        <w:tabs>
          <w:tab w:val="num" w:pos="-360"/>
        </w:tabs>
        <w:ind w:left="360" w:hanging="540"/>
        <w:jc w:val="both"/>
        <w:rPr>
          <w:u w:val="single"/>
          <w:lang w:eastAsia="ru-RU"/>
        </w:rPr>
      </w:pPr>
      <w:r w:rsidRPr="00173655">
        <w:t xml:space="preserve"> Якщо критеріїв у справі Altmark не дотримано, для проведення відповідної оцінки допустимості державної допомоги під час надання послуг громадського транспорту для оцінки використовується Регламент.</w:t>
      </w:r>
    </w:p>
    <w:p w:rsidR="00173655" w:rsidRPr="00173655" w:rsidRDefault="00173655" w:rsidP="00173655">
      <w:pPr>
        <w:ind w:left="567"/>
        <w:jc w:val="both"/>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t xml:space="preserve">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w:t>
      </w:r>
      <w:r w:rsidR="006342AF">
        <w:t>і</w:t>
      </w:r>
      <w:r w:rsidRPr="00173655">
        <w:t>з надання публічної послуги.</w:t>
      </w:r>
    </w:p>
    <w:p w:rsidR="00173655" w:rsidRPr="00173655" w:rsidRDefault="00173655" w:rsidP="00173655">
      <w:pPr>
        <w:pStyle w:val="af6"/>
        <w:rPr>
          <w:lang w:eastAsia="ru-RU"/>
        </w:rPr>
      </w:pPr>
    </w:p>
    <w:p w:rsidR="00173655" w:rsidRPr="00173655" w:rsidRDefault="00173655" w:rsidP="00173655">
      <w:pPr>
        <w:numPr>
          <w:ilvl w:val="0"/>
          <w:numId w:val="35"/>
        </w:numPr>
        <w:tabs>
          <w:tab w:val="num" w:pos="-360"/>
        </w:tabs>
        <w:ind w:left="360" w:hanging="540"/>
        <w:jc w:val="both"/>
        <w:rPr>
          <w:lang w:eastAsia="ru-RU"/>
        </w:rPr>
      </w:pPr>
      <w:r w:rsidRPr="00173655">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w:t>
      </w:r>
      <w:r w:rsidRPr="00173655">
        <w:lastRenderedPageBreak/>
        <w:t xml:space="preserve">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 </w:t>
      </w:r>
    </w:p>
    <w:p w:rsidR="00173655" w:rsidRPr="00173655" w:rsidRDefault="00173655" w:rsidP="00173655">
      <w:pPr>
        <w:pStyle w:val="af6"/>
      </w:pPr>
    </w:p>
    <w:p w:rsidR="00173655" w:rsidRPr="00173655" w:rsidRDefault="00173655" w:rsidP="00173655">
      <w:pPr>
        <w:numPr>
          <w:ilvl w:val="0"/>
          <w:numId w:val="35"/>
        </w:numPr>
        <w:tabs>
          <w:tab w:val="num" w:pos="-360"/>
        </w:tabs>
        <w:ind w:left="360" w:hanging="540"/>
        <w:jc w:val="both"/>
        <w:rPr>
          <w:lang w:eastAsia="ru-RU"/>
        </w:rPr>
      </w:pPr>
      <w:r w:rsidRPr="00173655">
        <w:t xml:space="preserve">Згідно зі статтею 11 Закону України «Про міський електричний транспорт»: </w:t>
      </w:r>
    </w:p>
    <w:p w:rsidR="00173655" w:rsidRPr="00173655" w:rsidRDefault="00173655" w:rsidP="00173655">
      <w:pPr>
        <w:tabs>
          <w:tab w:val="num" w:pos="-180"/>
        </w:tabs>
        <w:ind w:left="284" w:hanging="284"/>
        <w:jc w:val="both"/>
      </w:pPr>
      <w:r w:rsidRPr="00173655">
        <w:t xml:space="preserve"> - відносини замовників з перевізниками регулюються згідно із законодавством, а також договором про організацію надання транспортних послуг; </w:t>
      </w:r>
    </w:p>
    <w:p w:rsidR="00173655" w:rsidRPr="00173655" w:rsidRDefault="00173655" w:rsidP="00173655">
      <w:pPr>
        <w:tabs>
          <w:tab w:val="num" w:pos="-180"/>
        </w:tabs>
        <w:ind w:left="284" w:hanging="284"/>
        <w:jc w:val="both"/>
      </w:pPr>
      <w:r w:rsidRPr="00173655">
        <w:t xml:space="preserve">-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 </w:t>
      </w:r>
    </w:p>
    <w:p w:rsidR="00173655" w:rsidRPr="00173655" w:rsidRDefault="00173655" w:rsidP="00173655">
      <w:pPr>
        <w:tabs>
          <w:tab w:val="num" w:pos="-180"/>
        </w:tabs>
        <w:ind w:left="284" w:hanging="284"/>
        <w:jc w:val="both"/>
      </w:pPr>
      <w:r w:rsidRPr="00173655">
        <w:t xml:space="preserve">- типовий договір про організацію надання транспортних послуг затверджується Кабінетом Міністрів України; </w:t>
      </w:r>
    </w:p>
    <w:p w:rsidR="00173655" w:rsidRPr="00173655" w:rsidRDefault="00173655" w:rsidP="00173655">
      <w:pPr>
        <w:tabs>
          <w:tab w:val="num" w:pos="-180"/>
        </w:tabs>
        <w:ind w:left="284" w:hanging="284"/>
        <w:jc w:val="both"/>
      </w:pPr>
      <w:r w:rsidRPr="00173655">
        <w:t xml:space="preserve">- 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 </w:t>
      </w:r>
    </w:p>
    <w:p w:rsidR="00173655" w:rsidRPr="00173655" w:rsidRDefault="00173655" w:rsidP="00173655">
      <w:pPr>
        <w:tabs>
          <w:tab w:val="num" w:pos="-180"/>
        </w:tabs>
        <w:ind w:left="284" w:hanging="284"/>
        <w:jc w:val="both"/>
        <w:rPr>
          <w:lang w:eastAsia="ru-RU"/>
        </w:rPr>
      </w:pPr>
      <w:r w:rsidRPr="00173655">
        <w:t xml:space="preserve">- 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rsidR="00173655" w:rsidRPr="00173655" w:rsidRDefault="00173655" w:rsidP="00173655">
      <w:pPr>
        <w:pStyle w:val="af6"/>
      </w:pPr>
    </w:p>
    <w:p w:rsidR="00173655" w:rsidRPr="00173655" w:rsidRDefault="00173655" w:rsidP="00173655">
      <w:pPr>
        <w:numPr>
          <w:ilvl w:val="0"/>
          <w:numId w:val="35"/>
        </w:numPr>
        <w:tabs>
          <w:tab w:val="num" w:pos="-360"/>
        </w:tabs>
        <w:ind w:left="360" w:hanging="540"/>
        <w:jc w:val="both"/>
        <w:rPr>
          <w:lang w:eastAsia="ru-RU"/>
        </w:rPr>
      </w:pPr>
      <w:r w:rsidRPr="00173655">
        <w:t xml:space="preserve">Згідно </w:t>
      </w:r>
      <w:r w:rsidR="006342AF">
        <w:t>і</w:t>
      </w:r>
      <w:r w:rsidRPr="00173655">
        <w:t xml:space="preserve">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 </w:t>
      </w:r>
    </w:p>
    <w:p w:rsidR="00173655" w:rsidRPr="00173655" w:rsidRDefault="00173655" w:rsidP="00173655">
      <w:pPr>
        <w:pStyle w:val="af6"/>
      </w:pPr>
    </w:p>
    <w:p w:rsidR="00173655" w:rsidRPr="00173655" w:rsidRDefault="00173655" w:rsidP="00173655">
      <w:pPr>
        <w:numPr>
          <w:ilvl w:val="0"/>
          <w:numId w:val="35"/>
        </w:numPr>
        <w:tabs>
          <w:tab w:val="num" w:pos="-360"/>
        </w:tabs>
        <w:ind w:left="360" w:hanging="540"/>
        <w:jc w:val="both"/>
        <w:rPr>
          <w:lang w:eastAsia="ru-RU"/>
        </w:rPr>
      </w:pPr>
      <w:r w:rsidRPr="00173655">
        <w:t>Зобов’язання</w:t>
      </w:r>
      <w:r w:rsidRPr="00173655">
        <w:rPr>
          <w:lang w:eastAsia="ru-RU"/>
        </w:rPr>
        <w:t xml:space="preserve"> КП «Одесміськелектротранс» з обслуговування населення чітко встановлені та визначені договором про організацію надання транспортних послуг з перевезень міським електричним транспортом на 2020 – 2029 роки.</w:t>
      </w:r>
    </w:p>
    <w:p w:rsidR="00173655" w:rsidRPr="00173655" w:rsidRDefault="00173655" w:rsidP="00173655">
      <w:pPr>
        <w:jc w:val="both"/>
        <w:rPr>
          <w:lang w:eastAsia="ru-RU"/>
        </w:rPr>
      </w:pPr>
    </w:p>
    <w:p w:rsidR="00173655" w:rsidRPr="00173655" w:rsidRDefault="00173655" w:rsidP="00173655">
      <w:pPr>
        <w:numPr>
          <w:ilvl w:val="0"/>
          <w:numId w:val="35"/>
        </w:numPr>
        <w:tabs>
          <w:tab w:val="num" w:pos="-360"/>
        </w:tabs>
        <w:ind w:left="360" w:hanging="540"/>
        <w:jc w:val="both"/>
      </w:pPr>
      <w:r w:rsidRPr="00173655">
        <w:t xml:space="preserve">Відповідно до статті 4 Регламенту договір про надання публічних послуг та загальні правила повинні: </w:t>
      </w:r>
    </w:p>
    <w:p w:rsidR="00173655" w:rsidRPr="00173655" w:rsidRDefault="00173655" w:rsidP="00173655">
      <w:pPr>
        <w:ind w:firstLine="426"/>
        <w:jc w:val="both"/>
      </w:pPr>
      <w:r w:rsidRPr="00173655">
        <w:t xml:space="preserve">а) чітко визначати зобов’язання щодо публічних послуг, які повинен виконувати суб’єкт господарювання, та відповідні географічні зони; </w:t>
      </w:r>
    </w:p>
    <w:p w:rsidR="00173655" w:rsidRPr="00173655" w:rsidRDefault="00173655" w:rsidP="00173655">
      <w:pPr>
        <w:ind w:firstLine="426"/>
        <w:jc w:val="both"/>
      </w:pPr>
      <w:r w:rsidRPr="00173655">
        <w:t>б) об’єктивно і прозоро встановлювати:</w:t>
      </w:r>
    </w:p>
    <w:p w:rsidR="00173655" w:rsidRPr="00173655" w:rsidRDefault="00173655" w:rsidP="00173655">
      <w:pPr>
        <w:ind w:firstLine="426"/>
        <w:jc w:val="both"/>
      </w:pPr>
      <w:r w:rsidRPr="00173655">
        <w:t>- параметри, на підставі яких розраховується компенсація, та наявність будь-яких ексклюзивних прав</w:t>
      </w:r>
      <w:r w:rsidR="006342AF">
        <w:t>;</w:t>
      </w:r>
      <w:r w:rsidRPr="00173655">
        <w:t xml:space="preserve"> </w:t>
      </w:r>
    </w:p>
    <w:p w:rsidR="00173655" w:rsidRPr="00173655" w:rsidRDefault="00173655" w:rsidP="00173655">
      <w:pPr>
        <w:ind w:firstLine="426"/>
        <w:jc w:val="both"/>
      </w:pPr>
      <w:r w:rsidRPr="00173655">
        <w:t xml:space="preserve">- 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 </w:t>
      </w:r>
    </w:p>
    <w:p w:rsidR="00173655" w:rsidRPr="00173655" w:rsidRDefault="00173655" w:rsidP="00173655">
      <w:pPr>
        <w:ind w:firstLine="426"/>
        <w:jc w:val="both"/>
      </w:pPr>
      <w:r w:rsidRPr="00173655">
        <w:t>в) визначати способи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173655" w:rsidRPr="00173655" w:rsidRDefault="00173655" w:rsidP="00173655">
      <w:pPr>
        <w:ind w:firstLine="426"/>
        <w:jc w:val="both"/>
      </w:pPr>
      <w:r w:rsidRPr="00173655">
        <w:t>г) передбачати тривалість дії договору, що не перевищує 15 років</w:t>
      </w:r>
      <w:r w:rsidR="006342AF">
        <w:t>,</w:t>
      </w:r>
      <w:r w:rsidRPr="00173655">
        <w:t xml:space="preserve"> – для послуг пасажирського транспорту;</w:t>
      </w:r>
    </w:p>
    <w:p w:rsidR="00173655" w:rsidRPr="00173655" w:rsidRDefault="00173655" w:rsidP="00173655">
      <w:pPr>
        <w:ind w:firstLine="426"/>
        <w:jc w:val="both"/>
      </w:pPr>
      <w:r w:rsidRPr="00173655">
        <w:t xml:space="preserve">д) у разі укладення прямого договору між підконтрольним суб’єктом господарювання й органом місцевого самоврядування, суб’єкт господарювання не бере участі в конкурентних </w:t>
      </w:r>
      <w:r w:rsidRPr="00173655">
        <w:lastRenderedPageBreak/>
        <w:t>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173655" w:rsidRPr="00173655" w:rsidRDefault="00173655" w:rsidP="00173655">
      <w:pPr>
        <w:ind w:firstLine="426"/>
        <w:jc w:val="both"/>
      </w:pPr>
      <w:r w:rsidRPr="00173655">
        <w:t>є) визначати умови розподілу доходу від продажу квитків.</w:t>
      </w:r>
    </w:p>
    <w:p w:rsidR="00173655" w:rsidRPr="00173655" w:rsidRDefault="00173655" w:rsidP="00173655">
      <w:pPr>
        <w:ind w:firstLine="426"/>
        <w:jc w:val="both"/>
      </w:pPr>
    </w:p>
    <w:p w:rsidR="00173655" w:rsidRPr="00173655" w:rsidRDefault="00173655" w:rsidP="00173655">
      <w:pPr>
        <w:numPr>
          <w:ilvl w:val="0"/>
          <w:numId w:val="35"/>
        </w:numPr>
        <w:tabs>
          <w:tab w:val="num" w:pos="-360"/>
        </w:tabs>
        <w:ind w:left="360" w:hanging="540"/>
        <w:jc w:val="both"/>
        <w:rPr>
          <w:color w:val="000000"/>
        </w:rPr>
      </w:pPr>
      <w:r w:rsidRPr="00173655">
        <w:t xml:space="preserve">Договір </w:t>
      </w:r>
      <w:r w:rsidRPr="00173655">
        <w:rPr>
          <w:color w:val="000000"/>
        </w:rPr>
        <w:t>про організацію надання транспортних послуг з перевезень міським електричним транспортом на 2020 – 2029 роки від 10.12.2020</w:t>
      </w:r>
      <w:r w:rsidR="006342AF">
        <w:rPr>
          <w:color w:val="000000"/>
        </w:rPr>
        <w:t>,</w:t>
      </w:r>
      <w:r w:rsidRPr="00173655">
        <w:rPr>
          <w:color w:val="000000"/>
        </w:rPr>
        <w:t xml:space="preserve"> укладений між Департаментом транспорту, зв’язку та організації дорожнього руху Одеської міської ради та комунальним підприємством «Одесміськелектротранс»</w:t>
      </w:r>
      <w:r w:rsidR="006342AF">
        <w:rPr>
          <w:color w:val="000000"/>
        </w:rPr>
        <w:t>,</w:t>
      </w:r>
      <w:r w:rsidRPr="00173655">
        <w:rPr>
          <w:color w:val="000000"/>
        </w:rPr>
        <w:t xml:space="preserve"> чітко визначає зобов’язання КП «Одесміськелектротранс» щодо публічних послуг</w:t>
      </w:r>
      <w:r w:rsidR="006342AF">
        <w:rPr>
          <w:color w:val="000000"/>
        </w:rPr>
        <w:t>,</w:t>
      </w:r>
      <w:r w:rsidRPr="00173655">
        <w:rPr>
          <w:color w:val="000000"/>
        </w:rPr>
        <w:t xml:space="preserve"> а саме, пасажирські перевезення міським електричним транспортом, які повинен виконувати КП «Одесміськелектротранс», та відповідні географічні зони маршрутів </w:t>
      </w:r>
      <w:r w:rsidR="006342AF">
        <w:rPr>
          <w:color w:val="000000"/>
        </w:rPr>
        <w:t>і</w:t>
      </w:r>
      <w:r w:rsidRPr="00173655">
        <w:rPr>
          <w:color w:val="000000"/>
        </w:rPr>
        <w:t>з перевезення пасажирів міським електричним транспортом.</w:t>
      </w:r>
    </w:p>
    <w:p w:rsidR="00173655" w:rsidRPr="00173655" w:rsidRDefault="00173655" w:rsidP="00173655">
      <w:pPr>
        <w:ind w:left="360"/>
        <w:jc w:val="both"/>
      </w:pPr>
      <w:r w:rsidRPr="00173655">
        <w:t xml:space="preserve">Відповідно до підпункту 7.1 пункту  7 Договору </w:t>
      </w:r>
      <w:r w:rsidRPr="00173655">
        <w:rPr>
          <w:lang w:eastAsia="ru-RU"/>
        </w:rPr>
        <w:t>про організацію надання транспортних послуг з перевезень міським електричним транспортом від 10.12.2020 договір діє з дати підписання по 31.12.2029</w:t>
      </w:r>
      <w:r w:rsidR="003E0551">
        <w:rPr>
          <w:lang w:eastAsia="ru-RU"/>
        </w:rPr>
        <w:t>.</w:t>
      </w:r>
      <w:r w:rsidRPr="00173655">
        <w:rPr>
          <w:lang w:eastAsia="ru-RU"/>
        </w:rPr>
        <w:t xml:space="preserve"> </w:t>
      </w:r>
    </w:p>
    <w:p w:rsidR="00173655" w:rsidRPr="00173655" w:rsidRDefault="00173655" w:rsidP="00173655">
      <w:pPr>
        <w:ind w:left="360"/>
        <w:jc w:val="both"/>
        <w:rPr>
          <w:lang w:eastAsia="ru-RU"/>
        </w:rPr>
      </w:pPr>
      <w:r w:rsidRPr="00173655">
        <w:t>Відповідно до додатк</w:t>
      </w:r>
      <w:r w:rsidR="003E0551">
        <w:t>а</w:t>
      </w:r>
      <w:r w:rsidRPr="00173655">
        <w:t xml:space="preserve"> 3 </w:t>
      </w:r>
      <w:r w:rsidR="003E0551">
        <w:t xml:space="preserve">до </w:t>
      </w:r>
      <w:r w:rsidRPr="00173655">
        <w:t xml:space="preserve">Договору </w:t>
      </w:r>
      <w:r w:rsidRPr="00173655">
        <w:rPr>
          <w:lang w:eastAsia="ru-RU"/>
        </w:rPr>
        <w:t>про організацію надання транспортних послуг з перевезень міським електричним транспортом від 10.12.2020 визначено завдання щодо обсягу доходів від продажу проїзних документів та чистого доходу від надання додаткових послуг за іншими напрямами господарської діяльності комунального підприємства «Одесміськелектротранс».</w:t>
      </w:r>
    </w:p>
    <w:p w:rsidR="00173655" w:rsidRPr="00173655" w:rsidRDefault="00173655" w:rsidP="00173655">
      <w:pPr>
        <w:ind w:left="360"/>
        <w:jc w:val="both"/>
        <w:rPr>
          <w:color w:val="000000"/>
        </w:rPr>
      </w:pPr>
      <w:r w:rsidRPr="00173655">
        <w:rPr>
          <w:color w:val="000000"/>
          <w:u w:val="single"/>
        </w:rPr>
        <w:t xml:space="preserve">Отже, вимогу критерію </w:t>
      </w:r>
      <w:r w:rsidRPr="00173655">
        <w:rPr>
          <w:bCs/>
          <w:u w:val="single"/>
        </w:rPr>
        <w:t>дотримано.</w:t>
      </w:r>
    </w:p>
    <w:p w:rsidR="00173655" w:rsidRPr="00173655" w:rsidRDefault="00173655" w:rsidP="00173655">
      <w:pPr>
        <w:ind w:left="567"/>
        <w:contextualSpacing/>
        <w:jc w:val="both"/>
        <w:rPr>
          <w:bCs/>
          <w:color w:val="000000"/>
          <w:highlight w:val="yellow"/>
        </w:rPr>
      </w:pPr>
    </w:p>
    <w:p w:rsidR="00173655" w:rsidRPr="00173655" w:rsidRDefault="00173655" w:rsidP="00173655">
      <w:pPr>
        <w:numPr>
          <w:ilvl w:val="0"/>
          <w:numId w:val="35"/>
        </w:numPr>
        <w:tabs>
          <w:tab w:val="num" w:pos="-360"/>
        </w:tabs>
        <w:ind w:left="360" w:hanging="540"/>
        <w:jc w:val="both"/>
        <w:rPr>
          <w:bCs/>
          <w:color w:val="000000"/>
        </w:rPr>
      </w:pPr>
      <w:r w:rsidRPr="00173655">
        <w:rPr>
          <w:b/>
          <w:bCs/>
          <w:i/>
          <w:color w:val="000000"/>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173655" w:rsidRPr="00173655" w:rsidRDefault="00173655" w:rsidP="00173655">
      <w:pPr>
        <w:ind w:left="567" w:hanging="567"/>
        <w:contextualSpacing/>
        <w:jc w:val="both"/>
        <w:rPr>
          <w:bCs/>
          <w:color w:val="000000"/>
        </w:rPr>
      </w:pPr>
    </w:p>
    <w:p w:rsidR="00173655" w:rsidRPr="00173655" w:rsidRDefault="00173655" w:rsidP="00173655">
      <w:pPr>
        <w:numPr>
          <w:ilvl w:val="0"/>
          <w:numId w:val="35"/>
        </w:numPr>
        <w:tabs>
          <w:tab w:val="num" w:pos="-360"/>
        </w:tabs>
        <w:ind w:left="360" w:hanging="540"/>
        <w:jc w:val="both"/>
        <w:rPr>
          <w:color w:val="000000"/>
        </w:rPr>
      </w:pPr>
      <w:r w:rsidRPr="00173655">
        <w:rPr>
          <w:color w:val="000000"/>
        </w:rPr>
        <w:t>Згідно зі Статутом, затвердженим рішенням Одеської міської ради </w:t>
      </w:r>
      <w:r w:rsidR="004223E1">
        <w:rPr>
          <w:color w:val="000000"/>
        </w:rPr>
        <w:t xml:space="preserve"> </w:t>
      </w:r>
      <w:r w:rsidRPr="00737159">
        <w:rPr>
          <w:color w:val="000000"/>
        </w:rPr>
        <w:t>№</w:t>
      </w:r>
      <w:r w:rsidR="004223E1">
        <w:rPr>
          <w:color w:val="000000"/>
        </w:rPr>
        <w:t> </w:t>
      </w:r>
      <w:r w:rsidRPr="00737159">
        <w:rPr>
          <w:color w:val="000000"/>
        </w:rPr>
        <w:t xml:space="preserve">72-VIII </w:t>
      </w:r>
      <w:r w:rsidR="00A762B7" w:rsidRPr="00737159">
        <w:rPr>
          <w:color w:val="000000"/>
        </w:rPr>
        <w:t xml:space="preserve">                 </w:t>
      </w:r>
      <w:r w:rsidRPr="00737159">
        <w:rPr>
          <w:color w:val="000000"/>
        </w:rPr>
        <w:t>від 03.02.2021</w:t>
      </w:r>
      <w:r w:rsidR="00A762B7">
        <w:rPr>
          <w:color w:val="000000"/>
        </w:rPr>
        <w:t>,</w:t>
      </w:r>
      <w:r w:rsidRPr="00173655">
        <w:rPr>
          <w:color w:val="000000"/>
        </w:rPr>
        <w:t xml:space="preserve"> КП «Одесміськелектротранс» створено згідно з рішенням Одесько</w:t>
      </w:r>
      <w:r w:rsidR="00A762B7">
        <w:rPr>
          <w:color w:val="000000"/>
        </w:rPr>
        <w:t>ї</w:t>
      </w:r>
      <w:r w:rsidRPr="00173655">
        <w:rPr>
          <w:color w:val="000000"/>
        </w:rPr>
        <w:t xml:space="preserve"> міської ради від 03.03.2021 № 72-VІІІ з метою задоволення міських суспільних потреб у галузі перевезень пасажирів міським електричним транспортом.</w:t>
      </w:r>
    </w:p>
    <w:p w:rsidR="00173655" w:rsidRPr="00173655" w:rsidRDefault="00173655" w:rsidP="00173655">
      <w:pPr>
        <w:pStyle w:val="rvps2"/>
        <w:spacing w:before="0" w:beforeAutospacing="0" w:after="0" w:afterAutospacing="0"/>
        <w:ind w:firstLine="360"/>
        <w:contextualSpacing/>
        <w:jc w:val="both"/>
        <w:rPr>
          <w:color w:val="000000"/>
          <w:lang w:val="uk-UA"/>
        </w:rPr>
      </w:pPr>
      <w:r w:rsidRPr="00173655">
        <w:rPr>
          <w:color w:val="000000"/>
          <w:u w:val="single"/>
          <w:lang w:val="uk-UA"/>
        </w:rPr>
        <w:t>Отже, вимогу критерію дотримано.</w:t>
      </w:r>
    </w:p>
    <w:p w:rsidR="00173655" w:rsidRPr="00173655" w:rsidRDefault="00173655" w:rsidP="00173655">
      <w:pPr>
        <w:pStyle w:val="af6"/>
        <w:ind w:left="567" w:hanging="567"/>
        <w:rPr>
          <w:bCs/>
          <w:color w:val="000000"/>
          <w:highlight w:val="yellow"/>
        </w:rPr>
      </w:pPr>
    </w:p>
    <w:p w:rsidR="00173655" w:rsidRPr="00173655" w:rsidRDefault="00173655" w:rsidP="00173655">
      <w:pPr>
        <w:numPr>
          <w:ilvl w:val="0"/>
          <w:numId w:val="35"/>
        </w:numPr>
        <w:tabs>
          <w:tab w:val="num" w:pos="-360"/>
        </w:tabs>
        <w:ind w:left="360" w:hanging="540"/>
        <w:jc w:val="both"/>
        <w:rPr>
          <w:bCs/>
          <w:color w:val="000000"/>
        </w:rPr>
      </w:pPr>
      <w:r w:rsidRPr="00173655">
        <w:rPr>
          <w:b/>
          <w:bCs/>
          <w:i/>
          <w:color w:val="000000"/>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173655" w:rsidRPr="00173655" w:rsidRDefault="00173655" w:rsidP="00173655">
      <w:pPr>
        <w:rPr>
          <w:color w:val="000000"/>
          <w:highlight w:val="yellow"/>
        </w:rPr>
      </w:pPr>
    </w:p>
    <w:p w:rsidR="00173655" w:rsidRPr="00173655" w:rsidRDefault="00173655" w:rsidP="00173655">
      <w:pPr>
        <w:numPr>
          <w:ilvl w:val="0"/>
          <w:numId w:val="35"/>
        </w:numPr>
        <w:tabs>
          <w:tab w:val="num" w:pos="-360"/>
        </w:tabs>
        <w:ind w:left="360" w:hanging="540"/>
        <w:jc w:val="both"/>
        <w:rPr>
          <w:bCs/>
          <w:color w:val="000000"/>
        </w:rPr>
      </w:pPr>
      <w:r w:rsidRPr="00173655">
        <w:rPr>
          <w:color w:val="000000"/>
        </w:rPr>
        <w:t>КП «Одесміськелектротранс» не бере участі в конкурсах на надання послуг із перевезення пасажирів громадським транспортом за межами компетентного органу влади</w:t>
      </w:r>
      <w:r w:rsidRPr="00173655">
        <w:rPr>
          <w:bCs/>
          <w:color w:val="000000"/>
        </w:rPr>
        <w:t>, що відповідає нормам пункту 2 статті 5 Регламенту.</w:t>
      </w:r>
    </w:p>
    <w:p w:rsidR="00173655" w:rsidRPr="00173655" w:rsidRDefault="004223E1" w:rsidP="00737159">
      <w:pPr>
        <w:contextualSpacing/>
        <w:jc w:val="both"/>
        <w:rPr>
          <w:bCs/>
          <w:color w:val="000000"/>
        </w:rPr>
      </w:pPr>
      <w:r>
        <w:rPr>
          <w:color w:val="000000"/>
          <w:u w:val="single"/>
        </w:rPr>
        <w:t xml:space="preserve">     </w:t>
      </w:r>
      <w:r w:rsidR="00173655" w:rsidRPr="00173655">
        <w:rPr>
          <w:color w:val="000000"/>
          <w:u w:val="single"/>
        </w:rPr>
        <w:t>Отже, вимогу критерію дотримано.</w:t>
      </w:r>
    </w:p>
    <w:p w:rsidR="00173655" w:rsidRPr="00173655" w:rsidRDefault="00173655" w:rsidP="00173655">
      <w:pPr>
        <w:jc w:val="both"/>
        <w:rPr>
          <w:bCs/>
          <w:color w:val="000000"/>
          <w:highlight w:val="yellow"/>
          <w:u w:val="single"/>
        </w:rPr>
      </w:pPr>
    </w:p>
    <w:p w:rsidR="00173655" w:rsidRPr="00173655" w:rsidRDefault="00173655" w:rsidP="00173655">
      <w:pPr>
        <w:numPr>
          <w:ilvl w:val="0"/>
          <w:numId w:val="35"/>
        </w:numPr>
        <w:tabs>
          <w:tab w:val="num" w:pos="-360"/>
        </w:tabs>
        <w:ind w:left="360" w:hanging="540"/>
        <w:jc w:val="both"/>
        <w:rPr>
          <w:bCs/>
        </w:rPr>
      </w:pPr>
      <w:r w:rsidRPr="00173655">
        <w:rPr>
          <w:b/>
          <w:bCs/>
          <w:i/>
          <w:color w:val="000000"/>
        </w:rPr>
        <w:t>Відповідно</w:t>
      </w:r>
      <w:r w:rsidRPr="00173655">
        <w:rPr>
          <w:b/>
          <w:bCs/>
          <w:i/>
        </w:rPr>
        <w:t xml:space="preserve">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173655">
        <w:rPr>
          <w:bCs/>
        </w:rPr>
        <w:t xml:space="preserve">. </w:t>
      </w:r>
    </w:p>
    <w:p w:rsidR="00173655" w:rsidRPr="00173655" w:rsidRDefault="00173655" w:rsidP="00173655">
      <w:pPr>
        <w:pStyle w:val="af6"/>
        <w:rPr>
          <w:color w:val="000000"/>
        </w:rPr>
      </w:pPr>
    </w:p>
    <w:p w:rsidR="00173655" w:rsidRPr="00173655" w:rsidRDefault="00173655" w:rsidP="00173655">
      <w:pPr>
        <w:numPr>
          <w:ilvl w:val="0"/>
          <w:numId w:val="35"/>
        </w:numPr>
        <w:tabs>
          <w:tab w:val="num" w:pos="-360"/>
        </w:tabs>
        <w:ind w:left="360" w:hanging="540"/>
        <w:jc w:val="both"/>
        <w:rPr>
          <w:color w:val="000000"/>
        </w:rPr>
      </w:pPr>
      <w:r w:rsidRPr="00173655">
        <w:rPr>
          <w:color w:val="000000"/>
        </w:rPr>
        <w:t>Принципи, методи та процедури, які використовує КП «Одесміськеле</w:t>
      </w:r>
      <w:r w:rsidR="004223E1">
        <w:rPr>
          <w:color w:val="000000"/>
        </w:rPr>
        <w:t>к</w:t>
      </w:r>
      <w:r w:rsidRPr="00173655">
        <w:rPr>
          <w:color w:val="000000"/>
        </w:rPr>
        <w:t>тротранс» для ведення бухгалтерського обліку, регламентуються наказ</w:t>
      </w:r>
      <w:r w:rsidR="00A762B7">
        <w:rPr>
          <w:color w:val="000000"/>
        </w:rPr>
        <w:t>ом</w:t>
      </w:r>
      <w:r w:rsidRPr="00173655">
        <w:rPr>
          <w:color w:val="000000"/>
        </w:rPr>
        <w:t xml:space="preserve"> «Про організацію бухгалтерського обліку та облікової політики на підприємстві» від 03.07.2015 № 222. </w:t>
      </w:r>
    </w:p>
    <w:p w:rsidR="00173655" w:rsidRPr="00173655" w:rsidRDefault="00173655" w:rsidP="00173655">
      <w:pPr>
        <w:ind w:left="360"/>
        <w:jc w:val="both"/>
        <w:rPr>
          <w:color w:val="000000"/>
        </w:rPr>
      </w:pPr>
      <w:r w:rsidRPr="00173655">
        <w:rPr>
          <w:color w:val="000000"/>
        </w:rPr>
        <w:t xml:space="preserve">Доходи </w:t>
      </w:r>
      <w:r w:rsidR="00A762B7">
        <w:rPr>
          <w:color w:val="000000"/>
        </w:rPr>
        <w:t>й</w:t>
      </w:r>
      <w:r w:rsidRPr="00173655">
        <w:rPr>
          <w:color w:val="000000"/>
        </w:rPr>
        <w:t xml:space="preserve"> втрати щодо діяльності</w:t>
      </w:r>
      <w:r w:rsidR="00A762B7">
        <w:rPr>
          <w:color w:val="000000"/>
        </w:rPr>
        <w:t>,</w:t>
      </w:r>
      <w:r w:rsidRPr="00173655">
        <w:rPr>
          <w:color w:val="000000"/>
        </w:rPr>
        <w:t xml:space="preserve"> пов’язаної з перевезенням пасажирів електротранспортом</w:t>
      </w:r>
      <w:r w:rsidR="00A762B7">
        <w:rPr>
          <w:color w:val="000000"/>
        </w:rPr>
        <w:t>,</w:t>
      </w:r>
      <w:r w:rsidRPr="00173655">
        <w:rPr>
          <w:color w:val="000000"/>
        </w:rPr>
        <w:t xml:space="preserve"> облікову</w:t>
      </w:r>
      <w:r w:rsidR="00A762B7">
        <w:rPr>
          <w:color w:val="000000"/>
        </w:rPr>
        <w:t>ю</w:t>
      </w:r>
      <w:r w:rsidRPr="00173655">
        <w:rPr>
          <w:color w:val="000000"/>
        </w:rPr>
        <w:t>ться на субрахунку 730 «дохід від реалізації робіт та послуг»</w:t>
      </w:r>
      <w:r w:rsidR="00A762B7">
        <w:rPr>
          <w:color w:val="000000"/>
        </w:rPr>
        <w:t>,</w:t>
      </w:r>
      <w:r w:rsidRPr="00173655">
        <w:rPr>
          <w:color w:val="000000"/>
        </w:rPr>
        <w:t xml:space="preserve"> обліковується дохід від перевезень пасажирів електротранспортом.</w:t>
      </w:r>
    </w:p>
    <w:p w:rsidR="00173655" w:rsidRPr="00173655" w:rsidRDefault="00173655" w:rsidP="00173655">
      <w:pPr>
        <w:ind w:left="360"/>
        <w:jc w:val="both"/>
        <w:rPr>
          <w:color w:val="000000"/>
        </w:rPr>
      </w:pPr>
      <w:r w:rsidRPr="00173655">
        <w:rPr>
          <w:color w:val="000000"/>
        </w:rPr>
        <w:t>На рахунку 48 «Цільове фінансування і цільові надходження» КП «Одесміськелектротранс» ведеться облік та узагальнення інформації про наявність та рух коштів фінансування заходів цільового призначення.</w:t>
      </w:r>
    </w:p>
    <w:p w:rsidR="00173655" w:rsidRPr="00173655" w:rsidRDefault="00173655" w:rsidP="00173655">
      <w:pPr>
        <w:ind w:firstLine="360"/>
        <w:jc w:val="both"/>
        <w:rPr>
          <w:bCs/>
          <w:u w:val="single"/>
        </w:rPr>
      </w:pPr>
      <w:r w:rsidRPr="00173655">
        <w:rPr>
          <w:bCs/>
          <w:u w:val="single"/>
        </w:rPr>
        <w:t>Отже, вимогу Регламенту дотримано.</w:t>
      </w:r>
    </w:p>
    <w:p w:rsidR="00173655" w:rsidRPr="00173655" w:rsidRDefault="00173655" w:rsidP="00173655">
      <w:pPr>
        <w:ind w:left="567"/>
        <w:contextualSpacing/>
        <w:jc w:val="both"/>
        <w:rPr>
          <w:bCs/>
          <w:color w:val="000000"/>
          <w:highlight w:val="cyan"/>
        </w:rPr>
      </w:pPr>
    </w:p>
    <w:p w:rsidR="00173655" w:rsidRPr="00173655" w:rsidRDefault="00173655" w:rsidP="00173655">
      <w:pPr>
        <w:numPr>
          <w:ilvl w:val="0"/>
          <w:numId w:val="35"/>
        </w:numPr>
        <w:tabs>
          <w:tab w:val="num" w:pos="-360"/>
        </w:tabs>
        <w:ind w:left="360" w:hanging="540"/>
        <w:jc w:val="both"/>
        <w:rPr>
          <w:bCs/>
          <w:color w:val="000000"/>
        </w:rPr>
      </w:pPr>
      <w:r w:rsidRPr="00173655">
        <w:rPr>
          <w:b/>
          <w:bCs/>
          <w:i/>
          <w:color w:val="000000"/>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9D7D96">
        <w:rPr>
          <w:b/>
          <w:bCs/>
          <w:i/>
          <w:color w:val="000000"/>
        </w:rPr>
        <w:t>зі</w:t>
      </w:r>
      <w:r w:rsidRPr="00173655">
        <w:rPr>
          <w:b/>
          <w:bCs/>
          <w:i/>
          <w:color w:val="000000"/>
        </w:rPr>
        <w:t xml:space="preserve"> спільним ринком.</w:t>
      </w:r>
    </w:p>
    <w:p w:rsidR="00173655" w:rsidRPr="00173655" w:rsidRDefault="00173655" w:rsidP="00173655">
      <w:pPr>
        <w:pStyle w:val="af6"/>
        <w:rPr>
          <w:bCs/>
          <w:color w:val="000000"/>
        </w:rPr>
      </w:pPr>
    </w:p>
    <w:p w:rsidR="00173655" w:rsidRPr="00173655" w:rsidRDefault="00173655" w:rsidP="00173655">
      <w:pPr>
        <w:numPr>
          <w:ilvl w:val="0"/>
          <w:numId w:val="35"/>
        </w:numPr>
        <w:tabs>
          <w:tab w:val="num" w:pos="-360"/>
        </w:tabs>
        <w:ind w:left="360" w:hanging="540"/>
        <w:jc w:val="both"/>
        <w:rPr>
          <w:color w:val="000000"/>
        </w:rPr>
      </w:pPr>
      <w:r w:rsidRPr="00173655">
        <w:rPr>
          <w:color w:val="000000"/>
        </w:rPr>
        <w:t>Відповідно до отриманої від надавача інформації КП «Одесміськелектротранс» здійснює перевезення пасажирів у міському електричному транспорті відповідно до тарифів</w:t>
      </w:r>
      <w:r w:rsidR="009D7D96">
        <w:rPr>
          <w:color w:val="000000"/>
        </w:rPr>
        <w:t>,</w:t>
      </w:r>
      <w:r w:rsidRPr="00173655">
        <w:rPr>
          <w:color w:val="000000"/>
        </w:rPr>
        <w:t xml:space="preserve"> </w:t>
      </w:r>
      <w:r w:rsidR="009D7D96">
        <w:rPr>
          <w:color w:val="000000"/>
        </w:rPr>
        <w:t>у</w:t>
      </w:r>
      <w:r w:rsidRPr="00173655">
        <w:rPr>
          <w:color w:val="000000"/>
        </w:rPr>
        <w:t xml:space="preserve">становлених рішенням </w:t>
      </w:r>
      <w:r w:rsidRPr="00173655">
        <w:t>виконавчого комітету Одеської міської ради від 29.11.2018 № 516</w:t>
      </w:r>
      <w:r w:rsidRPr="00173655">
        <w:rPr>
          <w:color w:val="000000"/>
        </w:rPr>
        <w:t>. Розрахунок тарифу здійснений відповідно до Порядку формування тарифів на послуги міського електричного транспорту, який затверджений наказом Міністерства інфраструктури України від 25.11.2013 № 940, відповідно до запланованого на рік обсягу транспортної роботи підприємства, з використанням обґрунтованих планових витрат, визначених на підставі галузевих нормативів, техніко-економічних розрахунків, ставок і зборів (обов’язкових платежів) та прогнозованих цін на промислову продукцію і послуги у плановому періоді.</w:t>
      </w:r>
    </w:p>
    <w:p w:rsidR="00173655" w:rsidRPr="00173655" w:rsidRDefault="00173655" w:rsidP="00173655">
      <w:pPr>
        <w:autoSpaceDE w:val="0"/>
        <w:autoSpaceDN w:val="0"/>
        <w:adjustRightInd w:val="0"/>
        <w:ind w:firstLine="360"/>
        <w:jc w:val="both"/>
        <w:rPr>
          <w:color w:val="000000"/>
        </w:rPr>
      </w:pPr>
      <w:r w:rsidRPr="00173655">
        <w:rPr>
          <w:color w:val="000000"/>
          <w:u w:val="single"/>
        </w:rPr>
        <w:t>Отже, вимогу критерію дотримано.</w:t>
      </w:r>
    </w:p>
    <w:p w:rsidR="00173655" w:rsidRPr="00173655" w:rsidRDefault="00173655" w:rsidP="00173655">
      <w:pPr>
        <w:autoSpaceDE w:val="0"/>
        <w:autoSpaceDN w:val="0"/>
        <w:adjustRightInd w:val="0"/>
        <w:jc w:val="both"/>
        <w:rPr>
          <w:color w:val="000000"/>
        </w:rPr>
      </w:pPr>
    </w:p>
    <w:p w:rsidR="00173655" w:rsidRPr="00173655" w:rsidRDefault="00173655" w:rsidP="00173655">
      <w:pPr>
        <w:numPr>
          <w:ilvl w:val="0"/>
          <w:numId w:val="35"/>
        </w:numPr>
        <w:tabs>
          <w:tab w:val="num" w:pos="-360"/>
        </w:tabs>
        <w:ind w:left="360" w:hanging="540"/>
        <w:jc w:val="both"/>
        <w:rPr>
          <w:bCs/>
          <w:color w:val="000000"/>
        </w:rPr>
      </w:pPr>
      <w:r w:rsidRPr="00173655">
        <w:rPr>
          <w:b/>
          <w:bCs/>
          <w:i/>
          <w:color w:val="000000"/>
        </w:rPr>
        <w:t>Враховуючи вимогу частини четвертої статті 263 Угоди, а також пункт 1 додатка до Регламенту, Надавач повинен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173655">
        <w:rPr>
          <w:bCs/>
          <w:color w:val="000000"/>
        </w:rPr>
        <w:t>.</w:t>
      </w:r>
    </w:p>
    <w:p w:rsidR="00173655" w:rsidRPr="00173655" w:rsidRDefault="00173655" w:rsidP="00173655">
      <w:pPr>
        <w:pStyle w:val="af6"/>
        <w:rPr>
          <w:bCs/>
          <w:color w:val="000000"/>
          <w:highlight w:val="yellow"/>
        </w:rPr>
      </w:pPr>
    </w:p>
    <w:p w:rsidR="00173655" w:rsidRPr="00173655" w:rsidRDefault="00173655" w:rsidP="00173655">
      <w:pPr>
        <w:numPr>
          <w:ilvl w:val="0"/>
          <w:numId w:val="35"/>
        </w:numPr>
        <w:tabs>
          <w:tab w:val="num" w:pos="-360"/>
        </w:tabs>
        <w:ind w:left="360" w:hanging="540"/>
        <w:jc w:val="both"/>
        <w:rPr>
          <w:bCs/>
          <w:color w:val="000000"/>
          <w:u w:val="single"/>
        </w:rPr>
      </w:pPr>
      <w:r w:rsidRPr="00173655">
        <w:rPr>
          <w:color w:val="000000"/>
        </w:rPr>
        <w:t>Оскільки</w:t>
      </w:r>
      <w:r w:rsidRPr="00173655">
        <w:rPr>
          <w:bCs/>
          <w:color w:val="000000"/>
        </w:rPr>
        <w:t xml:space="preserve"> </w:t>
      </w:r>
      <w:r w:rsidR="00B001B1">
        <w:rPr>
          <w:bCs/>
          <w:color w:val="000000"/>
        </w:rPr>
        <w:t>в</w:t>
      </w:r>
      <w:r w:rsidR="00B001B1" w:rsidRPr="00173655">
        <w:rPr>
          <w:bCs/>
          <w:color w:val="000000"/>
        </w:rPr>
        <w:t xml:space="preserve"> </w:t>
      </w:r>
      <w:r w:rsidRPr="00173655">
        <w:rPr>
          <w:bCs/>
          <w:color w:val="000000"/>
        </w:rPr>
        <w:t>надавача відсутній належним чином затверджений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173655" w:rsidRPr="00173655" w:rsidRDefault="00173655" w:rsidP="00173655">
      <w:pPr>
        <w:pStyle w:val="rvps2"/>
        <w:spacing w:before="0" w:beforeAutospacing="0" w:after="0" w:afterAutospacing="0"/>
        <w:ind w:firstLine="360"/>
        <w:contextualSpacing/>
        <w:jc w:val="both"/>
        <w:rPr>
          <w:color w:val="000000"/>
          <w:u w:val="single"/>
          <w:lang w:val="uk-UA"/>
        </w:rPr>
      </w:pPr>
      <w:r w:rsidRPr="00173655">
        <w:rPr>
          <w:color w:val="000000"/>
          <w:u w:val="single"/>
          <w:lang w:val="uk-UA"/>
        </w:rPr>
        <w:t>Отже, вимогу критерію не дотримано.</w:t>
      </w:r>
    </w:p>
    <w:p w:rsidR="00173655" w:rsidRPr="00173655" w:rsidRDefault="00173655" w:rsidP="00173655">
      <w:pPr>
        <w:rPr>
          <w:bCs/>
          <w:color w:val="000000"/>
          <w:highlight w:val="yellow"/>
        </w:rPr>
      </w:pPr>
    </w:p>
    <w:p w:rsidR="00173655" w:rsidRPr="00173655" w:rsidRDefault="00173655" w:rsidP="00173655">
      <w:pPr>
        <w:numPr>
          <w:ilvl w:val="0"/>
          <w:numId w:val="35"/>
        </w:numPr>
        <w:tabs>
          <w:tab w:val="num" w:pos="-360"/>
        </w:tabs>
        <w:ind w:left="360" w:hanging="540"/>
        <w:jc w:val="both"/>
        <w:rPr>
          <w:bCs/>
        </w:rPr>
      </w:pPr>
      <w:r w:rsidRPr="00173655">
        <w:rPr>
          <w:bCs/>
          <w:u w:val="single"/>
        </w:rPr>
        <w:t xml:space="preserve">Отже, </w:t>
      </w:r>
      <w:r w:rsidRPr="00173655">
        <w:rPr>
          <w:color w:val="000000"/>
          <w:u w:val="single"/>
        </w:rPr>
        <w:t>вимог</w:t>
      </w:r>
      <w:r w:rsidRPr="00173655">
        <w:rPr>
          <w:bCs/>
          <w:u w:val="single"/>
        </w:rPr>
        <w:t xml:space="preserve"> та норм</w:t>
      </w:r>
      <w:r w:rsidR="00B001B1">
        <w:rPr>
          <w:bCs/>
          <w:u w:val="single"/>
        </w:rPr>
        <w:t xml:space="preserve"> </w:t>
      </w:r>
      <w:r w:rsidRPr="00173655">
        <w:rPr>
          <w:bCs/>
          <w:u w:val="single"/>
        </w:rPr>
        <w:t>Регламенту дотримано не в повному обсязі.</w:t>
      </w:r>
    </w:p>
    <w:p w:rsidR="00173655" w:rsidRPr="00173655" w:rsidRDefault="00173655" w:rsidP="00173655">
      <w:pPr>
        <w:pStyle w:val="rvps2"/>
        <w:spacing w:before="0" w:beforeAutospacing="0" w:after="0" w:afterAutospacing="0"/>
        <w:jc w:val="both"/>
        <w:rPr>
          <w:color w:val="000000"/>
          <w:lang w:val="uk-UA" w:eastAsia="uk-UA"/>
        </w:rPr>
      </w:pPr>
    </w:p>
    <w:p w:rsidR="00173655" w:rsidRPr="00173655" w:rsidRDefault="00173655" w:rsidP="00173655">
      <w:pPr>
        <w:numPr>
          <w:ilvl w:val="0"/>
          <w:numId w:val="35"/>
        </w:numPr>
        <w:tabs>
          <w:tab w:val="num" w:pos="-360"/>
        </w:tabs>
        <w:ind w:left="360" w:hanging="540"/>
        <w:jc w:val="both"/>
        <w:rPr>
          <w:b/>
          <w:shd w:val="clear" w:color="auto" w:fill="FFFFFF"/>
          <w:lang w:eastAsia="ru-RU"/>
        </w:rPr>
      </w:pPr>
      <w:r w:rsidRPr="00173655">
        <w:rPr>
          <w:lang w:eastAsia="ru-RU"/>
        </w:rPr>
        <w:t xml:space="preserve">Враховуючи викладене, державна </w:t>
      </w:r>
      <w:r w:rsidRPr="00173655">
        <w:t xml:space="preserve">допомога, яку надає Департамент міського господарства Одеської міської ради комунальному підприємству «Одесміськелектротранс» у формі субсидій та поточних трансфертів </w:t>
      </w:r>
      <w:r w:rsidR="001C2818">
        <w:t>і</w:t>
      </w:r>
      <w:r w:rsidRPr="00173655">
        <w:t>з бюджету м</w:t>
      </w:r>
      <w:r w:rsidR="00B001B1">
        <w:t>іста</w:t>
      </w:r>
      <w:r w:rsidRPr="00173655">
        <w:t xml:space="preserve"> Одеси на утримання та розвиток міського електротранспорту та місцевої гарантії відповідно до Фінансової угоди («Міський громадський транспорт України ІІ»)</w:t>
      </w:r>
      <w:r w:rsidR="00B001B1">
        <w:t>,</w:t>
      </w:r>
      <w:r w:rsidRPr="00173655">
        <w:t xml:space="preserve"> укладеної між Україною та Європейським інвестиційним банком відповідно до проєкту Міської цільової програми розвитку електротранспорту м. Одеси на 2022 – 2026 роки, </w:t>
      </w:r>
      <w:r w:rsidRPr="00173655">
        <w:rPr>
          <w:b/>
          <w:lang w:eastAsia="ru-RU"/>
        </w:rPr>
        <w:t xml:space="preserve">є допустимою державною допомогою </w:t>
      </w:r>
      <w:r w:rsidRPr="00173655">
        <w:rPr>
          <w:shd w:val="clear" w:color="auto" w:fill="FFFFFF"/>
          <w:lang w:eastAsia="ru-RU"/>
        </w:rPr>
        <w:t>для конкуренції відповідно до статті 6 Закону України «Про державну допомогу суб’єктам господарювання»</w:t>
      </w:r>
      <w:r w:rsidRPr="00173655">
        <w:rPr>
          <w:lang w:eastAsia="ru-RU"/>
        </w:rPr>
        <w:t xml:space="preserve">, </w:t>
      </w:r>
      <w:r w:rsidRPr="00173655">
        <w:rPr>
          <w:b/>
          <w:shd w:val="clear" w:color="auto" w:fill="FFFFFF"/>
          <w:lang w:eastAsia="ru-RU"/>
        </w:rPr>
        <w:t>за умови виконання надавачем таких зобов’язань:</w:t>
      </w:r>
    </w:p>
    <w:p w:rsidR="00173655" w:rsidRPr="00173655" w:rsidRDefault="00173655" w:rsidP="00C1360C">
      <w:pPr>
        <w:pStyle w:val="af6"/>
        <w:numPr>
          <w:ilvl w:val="0"/>
          <w:numId w:val="38"/>
        </w:numPr>
        <w:ind w:left="284" w:firstLine="425"/>
        <w:contextualSpacing/>
        <w:jc w:val="both"/>
        <w:rPr>
          <w:bCs/>
        </w:rPr>
      </w:pPr>
      <w:r w:rsidRPr="00173655">
        <w:rPr>
          <w:bCs/>
        </w:rPr>
        <w:lastRenderedPageBreak/>
        <w:t>розробити та затвердити</w:t>
      </w:r>
      <w:r w:rsidRPr="00173655">
        <w:rPr>
          <w:b/>
          <w:bCs/>
        </w:rPr>
        <w:t xml:space="preserve"> </w:t>
      </w:r>
      <w:r w:rsidRPr="00173655">
        <w:rPr>
          <w:bCs/>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173655" w:rsidRPr="00173655" w:rsidRDefault="00173655" w:rsidP="00C1360C">
      <w:pPr>
        <w:pStyle w:val="af6"/>
        <w:tabs>
          <w:tab w:val="left" w:pos="709"/>
        </w:tabs>
        <w:ind w:left="284" w:firstLine="425"/>
        <w:jc w:val="both"/>
        <w:rPr>
          <w:bCs/>
        </w:rPr>
      </w:pPr>
      <w:r w:rsidRPr="00173655">
        <w:rPr>
          <w:bCs/>
        </w:rPr>
        <w:t>-</w:t>
      </w:r>
      <w:r w:rsidRPr="00173655">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173655" w:rsidRPr="00173655" w:rsidRDefault="00173655" w:rsidP="00C1360C">
      <w:pPr>
        <w:pStyle w:val="af6"/>
        <w:tabs>
          <w:tab w:val="left" w:pos="709"/>
        </w:tabs>
        <w:ind w:left="284" w:firstLine="425"/>
        <w:jc w:val="both"/>
        <w:rPr>
          <w:bCs/>
        </w:rPr>
      </w:pPr>
      <w:r w:rsidRPr="00173655">
        <w:rPr>
          <w:bCs/>
        </w:rPr>
        <w:t>-</w:t>
      </w:r>
      <w:r w:rsidRPr="00173655">
        <w:rPr>
          <w:bCs/>
        </w:rPr>
        <w:tab/>
        <w:t>заходи щодо уникнення та повернення компенсації у випадку надання надмірної компенсації;</w:t>
      </w:r>
    </w:p>
    <w:p w:rsidR="00173655" w:rsidRPr="0013484C" w:rsidRDefault="00173655" w:rsidP="00C1360C">
      <w:pPr>
        <w:pStyle w:val="rvps2"/>
        <w:numPr>
          <w:ilvl w:val="0"/>
          <w:numId w:val="38"/>
        </w:numPr>
        <w:spacing w:before="0" w:beforeAutospacing="0" w:after="0" w:afterAutospacing="0"/>
        <w:ind w:left="284" w:firstLine="425"/>
        <w:contextualSpacing/>
        <w:jc w:val="both"/>
        <w:rPr>
          <w:lang w:val="uk-UA"/>
        </w:rPr>
      </w:pPr>
      <w:r w:rsidRPr="00173655">
        <w:rPr>
          <w:lang w:val="uk-UA"/>
        </w:rPr>
        <w:t xml:space="preserve">з метою уникнення отримання </w:t>
      </w:r>
      <w:r w:rsidRPr="00173655">
        <w:rPr>
          <w:color w:val="000000"/>
          <w:lang w:val="uk-UA" w:eastAsia="uk-UA"/>
        </w:rPr>
        <w:t>комунальним підприємством «Одесміськелектротранс»</w:t>
      </w:r>
      <w:r w:rsidRPr="00173655">
        <w:rPr>
          <w:bCs/>
          <w:lang w:val="uk-UA"/>
        </w:rPr>
        <w:t xml:space="preserve"> </w:t>
      </w:r>
      <w:r w:rsidRPr="00173655">
        <w:rPr>
          <w:lang w:val="uk-UA" w:eastAsia="uk-UA"/>
        </w:rPr>
        <w:t xml:space="preserve">надмірної (подвійної) компенсації, </w:t>
      </w:r>
      <w:r w:rsidRPr="00173655">
        <w:rPr>
          <w:lang w:val="uk-UA"/>
        </w:rPr>
        <w:t>забезпечити невключення амортизаційних нарахувань за придбані (оновлені) тролейбуси, електробуси та оновлене обладнання під час розрахунку</w:t>
      </w:r>
      <w:r w:rsidRPr="00173655">
        <w:rPr>
          <w:bCs/>
          <w:lang w:val="uk-UA"/>
        </w:rPr>
        <w:t xml:space="preserve"> </w:t>
      </w:r>
      <w:r w:rsidRPr="00173655">
        <w:rPr>
          <w:lang w:val="uk-UA"/>
        </w:rPr>
        <w:t xml:space="preserve">в майбутньому вартості нового тарифу на перевезення </w:t>
      </w:r>
      <w:r w:rsidRPr="0013484C">
        <w:rPr>
          <w:lang w:val="uk-UA"/>
        </w:rPr>
        <w:t>пасажирів електричним транспортом у місті Одес</w:t>
      </w:r>
      <w:r w:rsidR="00B001B1" w:rsidRPr="0013484C">
        <w:rPr>
          <w:lang w:val="uk-UA"/>
        </w:rPr>
        <w:t>і</w:t>
      </w:r>
      <w:r w:rsidRPr="0013484C">
        <w:rPr>
          <w:lang w:val="uk-UA"/>
        </w:rPr>
        <w:t xml:space="preserve"> для </w:t>
      </w:r>
      <w:r w:rsidRPr="0013484C">
        <w:rPr>
          <w:lang w:val="uk-UA" w:eastAsia="uk-UA"/>
        </w:rPr>
        <w:t>підприємства</w:t>
      </w:r>
      <w:r w:rsidRPr="0013484C">
        <w:rPr>
          <w:lang w:val="uk-UA"/>
        </w:rPr>
        <w:t xml:space="preserve"> або коригування наявного тарифу, у зв’язку з тим, що придбані тролейбуси та електробуси будуть передані </w:t>
      </w:r>
      <w:r w:rsidRPr="0013484C">
        <w:rPr>
          <w:color w:val="000000"/>
          <w:lang w:val="uk-UA" w:eastAsia="uk-UA"/>
        </w:rPr>
        <w:t>комунальному підприємству «Одесміськелектротранс»</w:t>
      </w:r>
      <w:r w:rsidRPr="0013484C">
        <w:rPr>
          <w:bCs/>
          <w:lang w:val="uk-UA"/>
        </w:rPr>
        <w:t xml:space="preserve"> </w:t>
      </w:r>
      <w:r w:rsidRPr="0013484C">
        <w:rPr>
          <w:lang w:val="uk-UA"/>
        </w:rPr>
        <w:t xml:space="preserve">на безкоштовній основі; </w:t>
      </w:r>
    </w:p>
    <w:p w:rsidR="0028493B" w:rsidRPr="0013484C" w:rsidRDefault="00173655" w:rsidP="00737159">
      <w:pPr>
        <w:pStyle w:val="rvps2"/>
        <w:numPr>
          <w:ilvl w:val="0"/>
          <w:numId w:val="38"/>
        </w:numPr>
        <w:spacing w:before="0" w:beforeAutospacing="0" w:after="0" w:afterAutospacing="0"/>
        <w:ind w:left="284" w:firstLine="425"/>
        <w:contextualSpacing/>
        <w:jc w:val="both"/>
        <w:rPr>
          <w:color w:val="000000"/>
          <w:lang w:val="uk-UA" w:eastAsia="uk-UA"/>
        </w:rPr>
      </w:pPr>
      <w:r w:rsidRPr="0013484C">
        <w:rPr>
          <w:color w:val="000000"/>
          <w:lang w:val="uk-UA" w:eastAsia="uk-UA"/>
        </w:rPr>
        <w:t>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повернення комунальним підприємством «Одесміськелектротранс» таких амортизаційних нарахувань.</w:t>
      </w:r>
    </w:p>
    <w:p w:rsidR="00173655" w:rsidRPr="00173655" w:rsidRDefault="00173655" w:rsidP="00173655">
      <w:pPr>
        <w:numPr>
          <w:ilvl w:val="0"/>
          <w:numId w:val="35"/>
        </w:numPr>
        <w:tabs>
          <w:tab w:val="num" w:pos="-360"/>
        </w:tabs>
        <w:ind w:left="360" w:hanging="540"/>
        <w:jc w:val="both"/>
      </w:pPr>
      <w:r w:rsidRPr="00173655">
        <w:t xml:space="preserve">Разом із цим департамент міського господарства Одеської міської ради має: </w:t>
      </w:r>
    </w:p>
    <w:p w:rsidR="00173655" w:rsidRPr="00173655" w:rsidRDefault="00173655" w:rsidP="001C2818">
      <w:pPr>
        <w:ind w:left="284" w:firstLine="425"/>
        <w:jc w:val="both"/>
      </w:pPr>
      <w:r w:rsidRPr="00173655">
        <w:t xml:space="preserve">1) з метою запобігання неналежному використанню державної допомоги наприкінці кожного року надання державної допомоги, але не пізніше ніж до 31 грудня, надавати Антимонопольному комітету України інформацію про здійснені заходи з моніторингу та контролю фактичного використання державної допомоги, визначеної в рішенні; </w:t>
      </w:r>
    </w:p>
    <w:p w:rsidR="0028493B" w:rsidRPr="00173655" w:rsidRDefault="00173655" w:rsidP="00737159">
      <w:pPr>
        <w:ind w:left="284" w:firstLine="425"/>
        <w:jc w:val="both"/>
      </w:pPr>
      <w:r w:rsidRPr="00173655">
        <w:t xml:space="preserve">2) після закінчення строку дії програми, яка є підставою для надання державної допомоги, надати Антимонопольному комітету України інформацію про всю фактично надану державну допомогу, визначену в рішенні. </w:t>
      </w:r>
    </w:p>
    <w:p w:rsidR="0028493B" w:rsidRPr="00173655" w:rsidRDefault="00173655" w:rsidP="00737159">
      <w:pPr>
        <w:numPr>
          <w:ilvl w:val="0"/>
          <w:numId w:val="35"/>
        </w:numPr>
        <w:tabs>
          <w:tab w:val="num" w:pos="-360"/>
        </w:tabs>
        <w:ind w:left="284" w:hanging="540"/>
        <w:jc w:val="both"/>
      </w:pPr>
      <w:r w:rsidRPr="00173655">
        <w:t xml:space="preserve">Наведені в </w:t>
      </w:r>
      <w:r w:rsidRPr="00173655">
        <w:rPr>
          <w:lang w:eastAsia="ru-RU"/>
        </w:rPr>
        <w:t>цьому</w:t>
      </w:r>
      <w:r w:rsidRPr="00173655">
        <w:t xml:space="preserve"> </w:t>
      </w:r>
      <w:r w:rsidR="005D428E">
        <w:t>рішенні</w:t>
      </w:r>
      <w:r w:rsidRPr="00173655">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F7600" w:rsidRDefault="00FF7600" w:rsidP="00737159">
      <w:pPr>
        <w:pStyle w:val="af6"/>
        <w:ind w:left="0" w:firstLine="567"/>
        <w:jc w:val="both"/>
        <w:rPr>
          <w:lang w:eastAsia="ru-RU"/>
        </w:rPr>
      </w:pPr>
    </w:p>
    <w:p w:rsidR="00173655" w:rsidRPr="00173655" w:rsidRDefault="00173655" w:rsidP="00737159">
      <w:pPr>
        <w:pStyle w:val="af6"/>
        <w:ind w:left="284" w:firstLine="283"/>
        <w:jc w:val="both"/>
        <w:rPr>
          <w:sz w:val="18"/>
        </w:rPr>
      </w:pPr>
      <w:r w:rsidRPr="00173655">
        <w:rPr>
          <w:lang w:eastAsia="ru-RU"/>
        </w:rPr>
        <w:t>Враховуючи викладене, керуючись статтями 7 і 16 Закону України «Про Антимонопольний комітет України», статтями 8 і 11 Закону України «Про державну допомогу суб’єктам господарювання»</w:t>
      </w:r>
      <w:r w:rsidRPr="00173655">
        <w:t xml:space="preserve"> </w:t>
      </w:r>
      <w:r w:rsidRPr="00173655">
        <w:rPr>
          <w:lang w:eastAsia="ru-RU"/>
        </w:rPr>
        <w:t xml:space="preserve">та пунктом 1 розділу IХ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на підставі інформації, </w:t>
      </w:r>
      <w:r w:rsidRPr="00173655">
        <w:rPr>
          <w:lang w:eastAsia="ru-RU"/>
        </w:rPr>
        <w:br/>
        <w:t xml:space="preserve">наданої </w:t>
      </w:r>
      <w:r w:rsidRPr="00173655">
        <w:t>Департаментом міського господарства Одеської міської ради, Антимонопольний комітет України</w:t>
      </w:r>
    </w:p>
    <w:p w:rsidR="00173655" w:rsidRPr="00173655" w:rsidRDefault="00173655" w:rsidP="00173655">
      <w:pPr>
        <w:ind w:left="284" w:hanging="284"/>
        <w:jc w:val="center"/>
        <w:rPr>
          <w:b/>
          <w:bCs/>
        </w:rPr>
      </w:pPr>
      <w:r w:rsidRPr="00173655">
        <w:rPr>
          <w:b/>
          <w:bCs/>
        </w:rPr>
        <w:t>ПОСТАНОВИВ:</w:t>
      </w:r>
    </w:p>
    <w:p w:rsidR="00173655" w:rsidRPr="00173655" w:rsidRDefault="00173655" w:rsidP="00173655">
      <w:pPr>
        <w:ind w:left="284" w:hanging="284"/>
        <w:jc w:val="center"/>
        <w:rPr>
          <w:b/>
          <w:bCs/>
        </w:rPr>
      </w:pPr>
    </w:p>
    <w:p w:rsidR="00173655" w:rsidRPr="00173655" w:rsidRDefault="00173655" w:rsidP="00D314D0">
      <w:pPr>
        <w:ind w:left="284" w:firstLine="283"/>
        <w:jc w:val="both"/>
      </w:pPr>
      <w:r w:rsidRPr="00173655">
        <w:t>1. Визнати, що державна підтримка, яку надає Департамент міського господарства Одеської міської ради комунальному підприємству «Одесміськелектротранс» у формі субсидій та поточних трансфертів з бюджету м</w:t>
      </w:r>
      <w:r w:rsidR="00B001B1">
        <w:t>іста</w:t>
      </w:r>
      <w:r w:rsidRPr="00173655">
        <w:t xml:space="preserve"> Одеси на утримання та розвиток </w:t>
      </w:r>
      <w:r w:rsidRPr="00173655">
        <w:lastRenderedPageBreak/>
        <w:t>міського електротранспорту та місцевої гарантії відповідно до Фінансової угоди («Міський громадський транспорт України ІІ»)</w:t>
      </w:r>
      <w:r w:rsidR="00B001B1">
        <w:t>,</w:t>
      </w:r>
      <w:r w:rsidRPr="00173655">
        <w:t xml:space="preserve"> укладеної між Україною та Європейським інвестиційним банком відповідно до проєкту Міської цільової програми розвитку електротранспорту м. Одеси на 2022 – 2026 роки, </w:t>
      </w:r>
      <w:r w:rsidRPr="00173655">
        <w:rPr>
          <w:b/>
        </w:rPr>
        <w:t>є державною допомогою</w:t>
      </w:r>
      <w:r w:rsidRPr="00173655">
        <w:t xml:space="preserve"> відповідно до Закону України «Про державну допомогу суб’єктам господарювання».</w:t>
      </w:r>
    </w:p>
    <w:p w:rsidR="00173655" w:rsidRPr="00173655" w:rsidRDefault="00173655" w:rsidP="00D314D0">
      <w:pPr>
        <w:ind w:left="284" w:firstLine="283"/>
        <w:jc w:val="both"/>
      </w:pPr>
    </w:p>
    <w:p w:rsidR="00173655" w:rsidRDefault="00173655" w:rsidP="00D314D0">
      <w:pPr>
        <w:ind w:left="284" w:firstLine="567"/>
        <w:jc w:val="both"/>
        <w:rPr>
          <w:b/>
          <w:shd w:val="clear" w:color="auto" w:fill="FFFFFF"/>
          <w:lang w:eastAsia="ru-RU"/>
        </w:rPr>
      </w:pPr>
      <w:r w:rsidRPr="00173655">
        <w:t xml:space="preserve">2. </w:t>
      </w:r>
      <w:r w:rsidRPr="00173655">
        <w:rPr>
          <w:lang w:eastAsia="ru-RU"/>
        </w:rPr>
        <w:t xml:space="preserve">Державна </w:t>
      </w:r>
      <w:r w:rsidRPr="00173655">
        <w:t>допомога, яку надає Департамент міського господарства Одеської міської ради комунальному підприємству «Одесміськелектротранс» у формі субсидій та поточних трансфертів з бюджету м</w:t>
      </w:r>
      <w:r w:rsidR="00B001B1">
        <w:t>іста</w:t>
      </w:r>
      <w:r w:rsidRPr="00173655">
        <w:t xml:space="preserve"> Одеси на утримання та розвиток міського електротранспорту та місцевої гарантії відповідно до Фінансової угоди («Міський громадський транспорт України ІІ»)</w:t>
      </w:r>
      <w:r w:rsidR="00B001B1">
        <w:t>,</w:t>
      </w:r>
      <w:r w:rsidRPr="00173655">
        <w:t xml:space="preserve"> укладеної між Україною та Європейським інвестиційним банком відповідно до проєкту Міської цільової програми розвитку електротранспорту м. Одеси на 2022 – 2026 роки, </w:t>
      </w:r>
      <w:r w:rsidRPr="00173655">
        <w:rPr>
          <w:b/>
          <w:lang w:eastAsia="ru-RU"/>
        </w:rPr>
        <w:t xml:space="preserve">є допустимою державною допомогою </w:t>
      </w:r>
      <w:r w:rsidRPr="00173655">
        <w:rPr>
          <w:shd w:val="clear" w:color="auto" w:fill="FFFFFF"/>
          <w:lang w:eastAsia="ru-RU"/>
        </w:rPr>
        <w:t>для конкуренції відповідно до статті 6 Закону України «Про державну допомогу суб’єктам господарювання»</w:t>
      </w:r>
      <w:r w:rsidRPr="00173655">
        <w:rPr>
          <w:lang w:eastAsia="ru-RU"/>
        </w:rPr>
        <w:t xml:space="preserve">, </w:t>
      </w:r>
      <w:r w:rsidRPr="00173655">
        <w:rPr>
          <w:b/>
          <w:shd w:val="clear" w:color="auto" w:fill="FFFFFF"/>
          <w:lang w:eastAsia="ru-RU"/>
        </w:rPr>
        <w:t>за умови виконання надавачем таких зобов’язань:</w:t>
      </w:r>
    </w:p>
    <w:p w:rsidR="00E724A4" w:rsidRPr="00173655" w:rsidRDefault="00E724A4" w:rsidP="00D314D0">
      <w:pPr>
        <w:ind w:left="284" w:firstLine="567"/>
        <w:jc w:val="both"/>
        <w:rPr>
          <w:b/>
          <w:shd w:val="clear" w:color="auto" w:fill="FFFFFF"/>
          <w:lang w:eastAsia="ru-RU"/>
        </w:rPr>
      </w:pPr>
    </w:p>
    <w:p w:rsidR="00173655" w:rsidRPr="00173655" w:rsidRDefault="00173655" w:rsidP="00737159">
      <w:pPr>
        <w:pStyle w:val="rvps2"/>
        <w:numPr>
          <w:ilvl w:val="0"/>
          <w:numId w:val="39"/>
        </w:numPr>
        <w:spacing w:before="0" w:beforeAutospacing="0" w:after="0" w:afterAutospacing="0"/>
        <w:ind w:left="284" w:firstLine="567"/>
        <w:contextualSpacing/>
        <w:jc w:val="both"/>
        <w:rPr>
          <w:bCs/>
          <w:lang w:val="uk-UA"/>
        </w:rPr>
      </w:pPr>
      <w:r w:rsidRPr="00173655">
        <w:rPr>
          <w:lang w:val="uk-UA"/>
        </w:rPr>
        <w:t>розробити</w:t>
      </w:r>
      <w:r w:rsidRPr="00173655">
        <w:rPr>
          <w:bCs/>
          <w:lang w:val="uk-UA"/>
        </w:rPr>
        <w:t xml:space="preserve"> та затвердити</w:t>
      </w:r>
      <w:r w:rsidRPr="00173655">
        <w:rPr>
          <w:b/>
          <w:bCs/>
          <w:lang w:val="uk-UA"/>
        </w:rPr>
        <w:t xml:space="preserve"> </w:t>
      </w:r>
      <w:r w:rsidRPr="00173655">
        <w:rPr>
          <w:bCs/>
          <w:lang w:val="uk-UA"/>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173655" w:rsidRPr="00173655" w:rsidRDefault="00173655" w:rsidP="009A3CA7">
      <w:pPr>
        <w:pStyle w:val="af6"/>
        <w:tabs>
          <w:tab w:val="left" w:pos="709"/>
        </w:tabs>
        <w:ind w:left="284" w:firstLine="284"/>
        <w:jc w:val="both"/>
        <w:rPr>
          <w:bCs/>
        </w:rPr>
      </w:pPr>
      <w:r w:rsidRPr="00173655">
        <w:rPr>
          <w:bCs/>
        </w:rPr>
        <w:t>-</w:t>
      </w:r>
      <w:r w:rsidRPr="00173655">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173655" w:rsidRDefault="00173655" w:rsidP="009A3CA7">
      <w:pPr>
        <w:pStyle w:val="af6"/>
        <w:tabs>
          <w:tab w:val="left" w:pos="709"/>
        </w:tabs>
        <w:ind w:left="284" w:firstLine="284"/>
        <w:jc w:val="both"/>
        <w:rPr>
          <w:bCs/>
        </w:rPr>
      </w:pPr>
      <w:r w:rsidRPr="00173655">
        <w:rPr>
          <w:bCs/>
        </w:rPr>
        <w:t>-</w:t>
      </w:r>
      <w:r w:rsidRPr="00173655">
        <w:rPr>
          <w:bCs/>
        </w:rPr>
        <w:tab/>
        <w:t>заходи щодо уникнення та повернення компенсації у випадку надання надмірної компенсації;</w:t>
      </w:r>
    </w:p>
    <w:p w:rsidR="00E724A4" w:rsidRPr="00173655" w:rsidRDefault="00E724A4" w:rsidP="009A3CA7">
      <w:pPr>
        <w:pStyle w:val="af6"/>
        <w:tabs>
          <w:tab w:val="left" w:pos="709"/>
        </w:tabs>
        <w:ind w:left="284" w:firstLine="284"/>
        <w:jc w:val="both"/>
        <w:rPr>
          <w:bCs/>
        </w:rPr>
      </w:pPr>
    </w:p>
    <w:p w:rsidR="00173655" w:rsidRDefault="00173655" w:rsidP="00737159">
      <w:pPr>
        <w:pStyle w:val="rvps2"/>
        <w:numPr>
          <w:ilvl w:val="0"/>
          <w:numId w:val="39"/>
        </w:numPr>
        <w:spacing w:before="0" w:beforeAutospacing="0" w:after="0" w:afterAutospacing="0"/>
        <w:ind w:left="284" w:firstLine="567"/>
        <w:contextualSpacing/>
        <w:jc w:val="both"/>
        <w:rPr>
          <w:lang w:val="uk-UA"/>
        </w:rPr>
      </w:pPr>
      <w:r w:rsidRPr="00173655">
        <w:rPr>
          <w:lang w:val="uk-UA"/>
        </w:rPr>
        <w:t xml:space="preserve">з метою уникнення отримання </w:t>
      </w:r>
      <w:r w:rsidRPr="00173655">
        <w:rPr>
          <w:color w:val="000000"/>
          <w:lang w:val="uk-UA" w:eastAsia="uk-UA"/>
        </w:rPr>
        <w:t>комунальним підприємством «Одесміськелектротранс»</w:t>
      </w:r>
      <w:r w:rsidRPr="00173655">
        <w:rPr>
          <w:bCs/>
          <w:lang w:val="uk-UA"/>
        </w:rPr>
        <w:t xml:space="preserve"> </w:t>
      </w:r>
      <w:r w:rsidRPr="00173655">
        <w:rPr>
          <w:lang w:val="uk-UA" w:eastAsia="uk-UA"/>
        </w:rPr>
        <w:t xml:space="preserve">надмірної (подвійної) компенсації, </w:t>
      </w:r>
      <w:r w:rsidRPr="00173655">
        <w:rPr>
          <w:lang w:val="uk-UA"/>
        </w:rPr>
        <w:t>забезпечити невключення амортизаційних нарахувань за придбані (оновлені) тролейбуси, електробуси та оновлене обладнання під час розрахунку</w:t>
      </w:r>
      <w:r w:rsidRPr="00173655">
        <w:rPr>
          <w:bCs/>
          <w:lang w:val="uk-UA"/>
        </w:rPr>
        <w:t xml:space="preserve"> </w:t>
      </w:r>
      <w:r w:rsidRPr="00173655">
        <w:rPr>
          <w:lang w:val="uk-UA"/>
        </w:rPr>
        <w:t>в майбутньому вартості нового тарифу на перевезення пасажирів електричним транспортом у місті Одес</w:t>
      </w:r>
      <w:r w:rsidR="00B001B1">
        <w:rPr>
          <w:lang w:val="uk-UA"/>
        </w:rPr>
        <w:t>і</w:t>
      </w:r>
      <w:r w:rsidRPr="00173655">
        <w:rPr>
          <w:lang w:val="uk-UA"/>
        </w:rPr>
        <w:t xml:space="preserve"> для </w:t>
      </w:r>
      <w:r w:rsidRPr="00173655">
        <w:rPr>
          <w:lang w:val="uk-UA" w:eastAsia="uk-UA"/>
        </w:rPr>
        <w:t>підприємства</w:t>
      </w:r>
      <w:r w:rsidRPr="00173655">
        <w:rPr>
          <w:lang w:val="uk-UA"/>
        </w:rPr>
        <w:t xml:space="preserve"> або коригування наявного тарифу, у зв’язку з тим, що придбані тролейбуси та електробуси будуть передані </w:t>
      </w:r>
      <w:r w:rsidRPr="00173655">
        <w:rPr>
          <w:color w:val="000000"/>
          <w:lang w:val="uk-UA" w:eastAsia="uk-UA"/>
        </w:rPr>
        <w:t>комунальному підприємству «Одесміськелектротранс»</w:t>
      </w:r>
      <w:r w:rsidRPr="00173655">
        <w:rPr>
          <w:bCs/>
          <w:lang w:val="uk-UA"/>
        </w:rPr>
        <w:t xml:space="preserve"> </w:t>
      </w:r>
      <w:r w:rsidRPr="00173655">
        <w:rPr>
          <w:lang w:val="uk-UA"/>
        </w:rPr>
        <w:t xml:space="preserve">на безкоштовній основі; </w:t>
      </w:r>
    </w:p>
    <w:p w:rsidR="00E724A4" w:rsidRPr="00173655" w:rsidRDefault="00E724A4" w:rsidP="00737159">
      <w:pPr>
        <w:pStyle w:val="rvps2"/>
        <w:spacing w:before="0" w:beforeAutospacing="0" w:after="0" w:afterAutospacing="0"/>
        <w:ind w:left="851"/>
        <w:contextualSpacing/>
        <w:jc w:val="both"/>
        <w:rPr>
          <w:lang w:val="uk-UA"/>
        </w:rPr>
      </w:pPr>
    </w:p>
    <w:p w:rsidR="00173655" w:rsidRPr="00173655" w:rsidRDefault="00173655" w:rsidP="00381509">
      <w:pPr>
        <w:pStyle w:val="rvps2"/>
        <w:numPr>
          <w:ilvl w:val="0"/>
          <w:numId w:val="39"/>
        </w:numPr>
        <w:spacing w:before="0" w:beforeAutospacing="0" w:after="0" w:afterAutospacing="0"/>
        <w:ind w:left="284" w:firstLine="567"/>
        <w:contextualSpacing/>
        <w:jc w:val="both"/>
        <w:rPr>
          <w:lang w:val="uk-UA"/>
        </w:rPr>
      </w:pPr>
      <w:r w:rsidRPr="00173655">
        <w:rPr>
          <w:lang w:val="uk-UA"/>
        </w:rPr>
        <w:t xml:space="preserve">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w:t>
      </w:r>
      <w:r w:rsidRPr="00173655">
        <w:rPr>
          <w:lang w:val="uk-UA" w:eastAsia="uk-UA"/>
        </w:rPr>
        <w:t>п</w:t>
      </w:r>
      <w:r w:rsidRPr="00173655">
        <w:rPr>
          <w:lang w:val="uk-UA"/>
        </w:rPr>
        <w:t>овернення</w:t>
      </w:r>
      <w:r w:rsidRPr="00173655">
        <w:rPr>
          <w:lang w:val="uk-UA" w:eastAsia="uk-UA"/>
        </w:rPr>
        <w:t xml:space="preserve"> </w:t>
      </w:r>
      <w:r w:rsidRPr="00173655">
        <w:rPr>
          <w:color w:val="000000"/>
          <w:lang w:val="uk-UA" w:eastAsia="uk-UA"/>
        </w:rPr>
        <w:t>комунальним підприємством «Одесміськелектротранс»</w:t>
      </w:r>
      <w:r w:rsidRPr="00173655">
        <w:rPr>
          <w:bCs/>
          <w:lang w:val="uk-UA"/>
        </w:rPr>
        <w:t xml:space="preserve"> </w:t>
      </w:r>
      <w:r w:rsidRPr="00173655">
        <w:rPr>
          <w:lang w:val="uk-UA"/>
        </w:rPr>
        <w:t>таких амортизаційних нарахувань.</w:t>
      </w:r>
    </w:p>
    <w:p w:rsidR="00173655" w:rsidRPr="00173655" w:rsidRDefault="00173655" w:rsidP="009A3CA7">
      <w:pPr>
        <w:ind w:left="284" w:firstLine="142"/>
        <w:jc w:val="both"/>
      </w:pPr>
    </w:p>
    <w:p w:rsidR="00173655" w:rsidRPr="00173655" w:rsidRDefault="00173655" w:rsidP="009A3CA7">
      <w:pPr>
        <w:ind w:left="142" w:firstLine="567"/>
        <w:jc w:val="both"/>
      </w:pPr>
      <w:r w:rsidRPr="00173655">
        <w:t>3. Надавач зобов’язаний виконати зобов’язання протягом року з дати отримання рішення.</w:t>
      </w:r>
    </w:p>
    <w:p w:rsidR="00173655" w:rsidRPr="00173655" w:rsidRDefault="00173655" w:rsidP="00173655">
      <w:pPr>
        <w:ind w:firstLine="567"/>
        <w:jc w:val="both"/>
      </w:pPr>
    </w:p>
    <w:p w:rsidR="00173655" w:rsidRPr="00173655" w:rsidRDefault="00173655" w:rsidP="0022508C">
      <w:pPr>
        <w:pStyle w:val="rvps2"/>
        <w:spacing w:before="0" w:beforeAutospacing="0" w:after="0" w:afterAutospacing="0"/>
        <w:ind w:left="284" w:firstLine="425"/>
        <w:jc w:val="both"/>
        <w:rPr>
          <w:lang w:val="uk-UA"/>
        </w:rPr>
      </w:pPr>
      <w:r w:rsidRPr="00173655">
        <w:rPr>
          <w:lang w:val="uk-UA"/>
        </w:rPr>
        <w:t xml:space="preserve">4. Надавач зобов’язаний поінформувати Антимонопольний комітет України про виконання зобов’язань </w:t>
      </w:r>
      <w:r w:rsidRPr="00173655">
        <w:rPr>
          <w:shd w:val="clear" w:color="auto" w:fill="FFFFFF"/>
          <w:lang w:val="uk-UA"/>
        </w:rPr>
        <w:t xml:space="preserve">протягом трьох робочих днів </w:t>
      </w:r>
      <w:r w:rsidR="00863011">
        <w:rPr>
          <w:shd w:val="clear" w:color="auto" w:fill="FFFFFF"/>
          <w:lang w:val="uk-UA"/>
        </w:rPr>
        <w:t>і</w:t>
      </w:r>
      <w:r w:rsidRPr="00173655">
        <w:rPr>
          <w:shd w:val="clear" w:color="auto" w:fill="FFFFFF"/>
          <w:lang w:val="uk-UA"/>
        </w:rPr>
        <w:t>з дня їх виконання</w:t>
      </w:r>
      <w:r w:rsidRPr="00173655">
        <w:rPr>
          <w:lang w:val="uk-UA"/>
        </w:rPr>
        <w:t>.</w:t>
      </w:r>
    </w:p>
    <w:p w:rsidR="00173655" w:rsidRPr="00173655" w:rsidRDefault="00173655" w:rsidP="0022508C">
      <w:pPr>
        <w:ind w:left="284" w:firstLine="567"/>
        <w:jc w:val="both"/>
      </w:pPr>
    </w:p>
    <w:p w:rsidR="00173655" w:rsidRPr="00173655" w:rsidRDefault="00173655" w:rsidP="00173655">
      <w:pPr>
        <w:ind w:firstLine="567"/>
        <w:jc w:val="both"/>
      </w:pPr>
      <w:r w:rsidRPr="00173655">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73655" w:rsidRDefault="00173655" w:rsidP="00173655">
      <w:pPr>
        <w:ind w:firstLine="567"/>
        <w:jc w:val="both"/>
      </w:pPr>
    </w:p>
    <w:p w:rsidR="0013484C" w:rsidRPr="00173655" w:rsidRDefault="0013484C" w:rsidP="00173655">
      <w:pPr>
        <w:ind w:firstLine="567"/>
        <w:jc w:val="both"/>
      </w:pPr>
    </w:p>
    <w:p w:rsidR="00173655" w:rsidRPr="00173655" w:rsidRDefault="00173655" w:rsidP="00173655">
      <w:pPr>
        <w:jc w:val="both"/>
      </w:pPr>
    </w:p>
    <w:p w:rsidR="003B7E3B" w:rsidRPr="00173655" w:rsidRDefault="00173655" w:rsidP="00173655">
      <w:pPr>
        <w:pStyle w:val="western"/>
        <w:spacing w:before="0" w:beforeAutospacing="0" w:line="240" w:lineRule="auto"/>
        <w:rPr>
          <w:sz w:val="24"/>
          <w:szCs w:val="24"/>
          <w:lang w:val="uk-UA"/>
        </w:rPr>
      </w:pPr>
      <w:r w:rsidRPr="00173655">
        <w:rPr>
          <w:sz w:val="24"/>
          <w:szCs w:val="24"/>
          <w:lang w:val="uk-UA"/>
        </w:rPr>
        <w:t>Голова Комітету                                                                                        Ольга ПІЩАНСЬК</w:t>
      </w:r>
      <w:r w:rsidR="00444F33">
        <w:rPr>
          <w:sz w:val="24"/>
          <w:szCs w:val="24"/>
          <w:lang w:val="uk-UA"/>
        </w:rPr>
        <w:t>А</w:t>
      </w:r>
    </w:p>
    <w:sectPr w:rsidR="003B7E3B" w:rsidRPr="00173655" w:rsidSect="00BF0830">
      <w:headerReference w:type="even" r:id="rId9"/>
      <w:headerReference w:type="default" r:id="rId10"/>
      <w:pgSz w:w="11906" w:h="16838" w:code="9"/>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37F" w:rsidRDefault="000C237F" w:rsidP="00D272E3">
      <w:r>
        <w:separator/>
      </w:r>
    </w:p>
  </w:endnote>
  <w:endnote w:type="continuationSeparator" w:id="0">
    <w:p w:rsidR="000C237F" w:rsidRDefault="000C237F"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Times New Roman"/>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37F" w:rsidRDefault="000C237F" w:rsidP="00D272E3">
      <w:r>
        <w:separator/>
      </w:r>
    </w:p>
  </w:footnote>
  <w:footnote w:type="continuationSeparator" w:id="0">
    <w:p w:rsidR="000C237F" w:rsidRDefault="000C237F" w:rsidP="00D27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84C" w:rsidRDefault="0013484C"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13484C" w:rsidRDefault="0013484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84C" w:rsidRDefault="0013484C"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C5D76">
      <w:rPr>
        <w:rStyle w:val="af2"/>
        <w:noProof/>
      </w:rPr>
      <w:t>28</w:t>
    </w:r>
    <w:r>
      <w:rPr>
        <w:rStyle w:val="af2"/>
      </w:rPr>
      <w:fldChar w:fldCharType="end"/>
    </w:r>
  </w:p>
  <w:p w:rsidR="0013484C" w:rsidRDefault="0013484C">
    <w:pPr>
      <w:pStyle w:val="a5"/>
      <w:jc w:val="center"/>
    </w:pPr>
  </w:p>
  <w:p w:rsidR="0013484C" w:rsidRDefault="0013484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15:restartNumberingAfterBreak="0">
    <w:nsid w:val="08D61FBB"/>
    <w:multiLevelType w:val="hybridMultilevel"/>
    <w:tmpl w:val="1A101F80"/>
    <w:lvl w:ilvl="0" w:tplc="04190019">
      <w:start w:val="1"/>
      <w:numFmt w:val="lowerLetter"/>
      <w:lvlText w:val="%1."/>
      <w:lvlJc w:val="left"/>
      <w:pPr>
        <w:tabs>
          <w:tab w:val="num" w:pos="-360"/>
        </w:tabs>
        <w:ind w:left="360" w:hanging="360"/>
      </w:pPr>
      <w:rPr>
        <w:rFonts w:hint="default"/>
        <w:b w:val="0"/>
        <w:color w:val="auto"/>
      </w:rPr>
    </w:lvl>
    <w:lvl w:ilvl="1" w:tplc="773CAB98">
      <w:start w:val="1"/>
      <w:numFmt w:val="bullet"/>
      <w:lvlText w:val="-"/>
      <w:lvlJc w:val="left"/>
      <w:pPr>
        <w:tabs>
          <w:tab w:val="num" w:pos="1440"/>
        </w:tabs>
        <w:ind w:left="1440" w:hanging="360"/>
      </w:pPr>
      <w:rPr>
        <w:rFonts w:ascii="Times New Roman" w:hAnsi="Times New Roman" w:cs="Times New Roman" w:hint="default"/>
        <w:color w:val="auto"/>
      </w:rPr>
    </w:lvl>
    <w:lvl w:ilvl="2" w:tplc="AADE709A">
      <w:start w:val="2"/>
      <w:numFmt w:val="decimal"/>
      <w:lvlText w:val="%3)"/>
      <w:lvlJc w:val="left"/>
      <w:pPr>
        <w:tabs>
          <w:tab w:val="num" w:pos="2685"/>
        </w:tabs>
        <w:ind w:left="2685" w:hanging="705"/>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EED567B"/>
    <w:multiLevelType w:val="multilevel"/>
    <w:tmpl w:val="C3F06EE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1E4E51"/>
    <w:multiLevelType w:val="hybridMultilevel"/>
    <w:tmpl w:val="5E4AAF84"/>
    <w:lvl w:ilvl="0" w:tplc="04190011">
      <w:start w:val="1"/>
      <w:numFmt w:val="decimal"/>
      <w:lvlText w:val="%1)"/>
      <w:lvlJc w:val="left"/>
      <w:pPr>
        <w:ind w:left="1211"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 w15:restartNumberingAfterBreak="0">
    <w:nsid w:val="1237023A"/>
    <w:multiLevelType w:val="hybridMultilevel"/>
    <w:tmpl w:val="5E4AAF84"/>
    <w:lvl w:ilvl="0" w:tplc="04190011">
      <w:start w:val="1"/>
      <w:numFmt w:val="decimal"/>
      <w:lvlText w:val="%1)"/>
      <w:lvlJc w:val="left"/>
      <w:pPr>
        <w:ind w:left="1000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9" w15:restartNumberingAfterBreak="0">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2537B12"/>
    <w:multiLevelType w:val="multilevel"/>
    <w:tmpl w:val="8C204BD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3B35238C"/>
    <w:multiLevelType w:val="multilevel"/>
    <w:tmpl w:val="E7B6C9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264A78"/>
    <w:multiLevelType w:val="hybridMultilevel"/>
    <w:tmpl w:val="E286C3B0"/>
    <w:lvl w:ilvl="0" w:tplc="B4F475D8">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3C926E79"/>
    <w:multiLevelType w:val="hybridMultilevel"/>
    <w:tmpl w:val="6F3E16BA"/>
    <w:lvl w:ilvl="0" w:tplc="8B20D4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182BE6"/>
    <w:multiLevelType w:val="hybridMultilevel"/>
    <w:tmpl w:val="BCA21458"/>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4CEA6F64"/>
    <w:multiLevelType w:val="hybridMultilevel"/>
    <w:tmpl w:val="30CC7AF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1" w15:restartNumberingAfterBreak="0">
    <w:nsid w:val="54E77198"/>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15:restartNumberingAfterBreak="0">
    <w:nsid w:val="5773251E"/>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5EC5732E"/>
    <w:multiLevelType w:val="hybridMultilevel"/>
    <w:tmpl w:val="EF94B3B6"/>
    <w:lvl w:ilvl="0" w:tplc="0419000F">
      <w:start w:val="1"/>
      <w:numFmt w:val="decimal"/>
      <w:lvlText w:val="%1."/>
      <w:lvlJc w:val="left"/>
      <w:pPr>
        <w:tabs>
          <w:tab w:val="num" w:pos="-180"/>
        </w:tabs>
        <w:ind w:left="54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15:restartNumberingAfterBreak="0">
    <w:nsid w:val="6007290D"/>
    <w:multiLevelType w:val="multilevel"/>
    <w:tmpl w:val="2E328A2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2884B78"/>
    <w:multiLevelType w:val="multilevel"/>
    <w:tmpl w:val="1146E72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5FA6D17"/>
    <w:multiLevelType w:val="hybridMultilevel"/>
    <w:tmpl w:val="C424385C"/>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443459"/>
    <w:multiLevelType w:val="multilevel"/>
    <w:tmpl w:val="E5102A9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68B65A2E"/>
    <w:multiLevelType w:val="multilevel"/>
    <w:tmpl w:val="71CCFD3E"/>
    <w:lvl w:ilvl="0">
      <w:start w:val="149"/>
      <w:numFmt w:val="decimal"/>
      <w:lvlText w:val="(%1)"/>
      <w:lvlJc w:val="left"/>
      <w:pPr>
        <w:ind w:left="142" w:firstLine="0"/>
      </w:pPr>
      <w:rPr>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E870917"/>
    <w:multiLevelType w:val="hybridMultilevel"/>
    <w:tmpl w:val="DD9419BE"/>
    <w:lvl w:ilvl="0" w:tplc="0419000F">
      <w:start w:val="1"/>
      <w:numFmt w:val="decimal"/>
      <w:lvlText w:val="%1."/>
      <w:lvlJc w:val="left"/>
      <w:pPr>
        <w:tabs>
          <w:tab w:val="num" w:pos="-360"/>
        </w:tabs>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33" w15:restartNumberingAfterBreak="0">
    <w:nsid w:val="76B26B2B"/>
    <w:multiLevelType w:val="multilevel"/>
    <w:tmpl w:val="2CE480F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7D5398"/>
    <w:multiLevelType w:val="multilevel"/>
    <w:tmpl w:val="50EE51C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4"/>
  </w:num>
  <w:num w:numId="4">
    <w:abstractNumId w:val="7"/>
  </w:num>
  <w:num w:numId="5">
    <w:abstractNumId w:val="12"/>
  </w:num>
  <w:num w:numId="6">
    <w:abstractNumId w:val="13"/>
  </w:num>
  <w:num w:numId="7">
    <w:abstractNumId w:val="33"/>
  </w:num>
  <w:num w:numId="8">
    <w:abstractNumId w:val="1"/>
  </w:num>
  <w:num w:numId="9">
    <w:abstractNumId w:val="31"/>
  </w:num>
  <w:num w:numId="10">
    <w:abstractNumId w:val="25"/>
    <w:lvlOverride w:ilvl="0"/>
    <w:lvlOverride w:ilvl="1"/>
    <w:lvlOverride w:ilvl="2"/>
    <w:lvlOverride w:ilvl="3"/>
    <w:lvlOverride w:ilvl="4"/>
    <w:lvlOverride w:ilvl="5"/>
    <w:lvlOverride w:ilvl="6"/>
    <w:lvlOverride w:ilvl="7"/>
    <w:lvlOverride w:ilvl="8"/>
  </w:num>
  <w:num w:numId="11">
    <w:abstractNumId w:val="12"/>
    <w:lvlOverride w:ilvl="0"/>
    <w:lvlOverride w:ilvl="1"/>
    <w:lvlOverride w:ilvl="2"/>
    <w:lvlOverride w:ilvl="3"/>
    <w:lvlOverride w:ilvl="4"/>
    <w:lvlOverride w:ilvl="5"/>
    <w:lvlOverride w:ilvl="6"/>
    <w:lvlOverride w:ilvl="7"/>
    <w:lvlOverride w:ilvl="8"/>
  </w:num>
  <w:num w:numId="12">
    <w:abstractNumId w:val="23"/>
  </w:num>
  <w:num w:numId="13">
    <w:abstractNumId w:val="34"/>
  </w:num>
  <w:num w:numId="14">
    <w:abstractNumId w:val="30"/>
  </w:num>
  <w:num w:numId="15">
    <w:abstractNumId w:val="11"/>
  </w:num>
  <w:num w:numId="16">
    <w:abstractNumId w:val="9"/>
  </w:num>
  <w:num w:numId="17">
    <w:abstractNumId w:val="17"/>
  </w:num>
  <w:num w:numId="18">
    <w:abstractNumId w:val="29"/>
    <w:lvlOverride w:ilvl="0">
      <w:startOverride w:val="149"/>
    </w:lvlOverride>
    <w:lvlOverride w:ilvl="1"/>
    <w:lvlOverride w:ilvl="2"/>
    <w:lvlOverride w:ilvl="3"/>
    <w:lvlOverride w:ilvl="4"/>
    <w:lvlOverride w:ilvl="5"/>
    <w:lvlOverride w:ilvl="6"/>
    <w:lvlOverride w:ilvl="7"/>
    <w:lvlOverride w:ilvl="8"/>
  </w:num>
  <w:num w:numId="19">
    <w:abstractNumId w:val="20"/>
  </w:num>
  <w:num w:numId="20">
    <w:abstractNumId w:val="3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7"/>
  </w:num>
  <w:num w:numId="24">
    <w:abstractNumId w:val="18"/>
  </w:num>
  <w:num w:numId="25">
    <w:abstractNumId w:val="14"/>
  </w:num>
  <w:num w:numId="26">
    <w:abstractNumId w:val="26"/>
  </w:num>
  <w:num w:numId="27">
    <w:abstractNumId w:val="28"/>
  </w:num>
  <w:num w:numId="28">
    <w:abstractNumId w:val="24"/>
  </w:num>
  <w:num w:numId="29">
    <w:abstractNumId w:val="16"/>
  </w:num>
  <w:num w:numId="30">
    <w:abstractNumId w:val="10"/>
  </w:num>
  <w:num w:numId="31">
    <w:abstractNumId w:val="15"/>
  </w:num>
  <w:num w:numId="32">
    <w:abstractNumId w:val="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lvlOverride w:ilvl="1"/>
    <w:lvlOverride w:ilvl="2"/>
    <w:lvlOverride w:ilvl="3"/>
    <w:lvlOverride w:ilvl="4"/>
    <w:lvlOverride w:ilvl="5"/>
    <w:lvlOverride w:ilvl="6"/>
    <w:lvlOverride w:ilvl="7"/>
    <w:lvlOverride w:ilvl="8"/>
  </w:num>
  <w:num w:numId="35">
    <w:abstractNumId w:val="2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lvlOverride w:ilvl="1"/>
    <w:lvlOverride w:ilvl="2"/>
    <w:lvlOverride w:ilvl="3"/>
    <w:lvlOverride w:ilvl="4"/>
    <w:lvlOverride w:ilvl="5"/>
    <w:lvlOverride w:ilvl="6"/>
    <w:lvlOverride w:ilvl="7"/>
    <w:lvlOverride w:ilvl="8"/>
  </w:num>
  <w:num w:numId="37">
    <w:abstractNumId w:val="32"/>
    <w:lvlOverride w:ilvl="0"/>
    <w:lvlOverride w:ilvl="1"/>
    <w:lvlOverride w:ilvl="2"/>
    <w:lvlOverride w:ilvl="3"/>
    <w:lvlOverride w:ilvl="4"/>
    <w:lvlOverride w:ilvl="5"/>
    <w:lvlOverride w:ilvl="6"/>
    <w:lvlOverride w:ilvl="7"/>
    <w:lvlOverride w:ilvl="8"/>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8D"/>
    <w:rsid w:val="0000250C"/>
    <w:rsid w:val="000036DC"/>
    <w:rsid w:val="00003B67"/>
    <w:rsid w:val="00003F14"/>
    <w:rsid w:val="000067AB"/>
    <w:rsid w:val="00007513"/>
    <w:rsid w:val="00007C5E"/>
    <w:rsid w:val="00010522"/>
    <w:rsid w:val="00010ED4"/>
    <w:rsid w:val="00011C98"/>
    <w:rsid w:val="00022067"/>
    <w:rsid w:val="0003242C"/>
    <w:rsid w:val="00033459"/>
    <w:rsid w:val="00033DC7"/>
    <w:rsid w:val="00034002"/>
    <w:rsid w:val="00035BBA"/>
    <w:rsid w:val="0003706E"/>
    <w:rsid w:val="000402DC"/>
    <w:rsid w:val="00040AD7"/>
    <w:rsid w:val="00042129"/>
    <w:rsid w:val="00042AA4"/>
    <w:rsid w:val="000432CB"/>
    <w:rsid w:val="000448A9"/>
    <w:rsid w:val="000462FC"/>
    <w:rsid w:val="0005114C"/>
    <w:rsid w:val="00051412"/>
    <w:rsid w:val="000517F3"/>
    <w:rsid w:val="00051D4F"/>
    <w:rsid w:val="00052C35"/>
    <w:rsid w:val="00054E23"/>
    <w:rsid w:val="00055E97"/>
    <w:rsid w:val="000560FB"/>
    <w:rsid w:val="00056720"/>
    <w:rsid w:val="00056FAD"/>
    <w:rsid w:val="00057D5A"/>
    <w:rsid w:val="0006440E"/>
    <w:rsid w:val="000674B5"/>
    <w:rsid w:val="0007190C"/>
    <w:rsid w:val="0007306B"/>
    <w:rsid w:val="00074C9E"/>
    <w:rsid w:val="00075F5C"/>
    <w:rsid w:val="00081BF0"/>
    <w:rsid w:val="0008245B"/>
    <w:rsid w:val="00085927"/>
    <w:rsid w:val="00085B53"/>
    <w:rsid w:val="00087698"/>
    <w:rsid w:val="000921F1"/>
    <w:rsid w:val="000928E4"/>
    <w:rsid w:val="00092E10"/>
    <w:rsid w:val="000940CE"/>
    <w:rsid w:val="00094C5F"/>
    <w:rsid w:val="0009644D"/>
    <w:rsid w:val="000971AE"/>
    <w:rsid w:val="000A0A1E"/>
    <w:rsid w:val="000A16DF"/>
    <w:rsid w:val="000A2CF7"/>
    <w:rsid w:val="000A4633"/>
    <w:rsid w:val="000A6700"/>
    <w:rsid w:val="000B053E"/>
    <w:rsid w:val="000B1FBB"/>
    <w:rsid w:val="000B371E"/>
    <w:rsid w:val="000B4E77"/>
    <w:rsid w:val="000C1391"/>
    <w:rsid w:val="000C16FD"/>
    <w:rsid w:val="000C1F8F"/>
    <w:rsid w:val="000C2211"/>
    <w:rsid w:val="000C237F"/>
    <w:rsid w:val="000C57E5"/>
    <w:rsid w:val="000C5D76"/>
    <w:rsid w:val="000D3277"/>
    <w:rsid w:val="000D37E3"/>
    <w:rsid w:val="000D3A3D"/>
    <w:rsid w:val="000D3A4C"/>
    <w:rsid w:val="000D4DE4"/>
    <w:rsid w:val="000D5C0A"/>
    <w:rsid w:val="000D6E1A"/>
    <w:rsid w:val="000D6E48"/>
    <w:rsid w:val="000D6F11"/>
    <w:rsid w:val="000E099B"/>
    <w:rsid w:val="000E496B"/>
    <w:rsid w:val="000E5549"/>
    <w:rsid w:val="000E619F"/>
    <w:rsid w:val="000E7CD9"/>
    <w:rsid w:val="000F25B5"/>
    <w:rsid w:val="000F2A84"/>
    <w:rsid w:val="000F364A"/>
    <w:rsid w:val="000F47C4"/>
    <w:rsid w:val="001001B8"/>
    <w:rsid w:val="00103D60"/>
    <w:rsid w:val="001075E2"/>
    <w:rsid w:val="00110EAF"/>
    <w:rsid w:val="001150ED"/>
    <w:rsid w:val="00117CE3"/>
    <w:rsid w:val="00122C70"/>
    <w:rsid w:val="00124F75"/>
    <w:rsid w:val="00124FAB"/>
    <w:rsid w:val="0012597A"/>
    <w:rsid w:val="0012660B"/>
    <w:rsid w:val="001338E7"/>
    <w:rsid w:val="0013484C"/>
    <w:rsid w:val="00134A75"/>
    <w:rsid w:val="00135A6B"/>
    <w:rsid w:val="00140335"/>
    <w:rsid w:val="0014068A"/>
    <w:rsid w:val="00142F78"/>
    <w:rsid w:val="00143C49"/>
    <w:rsid w:val="00143E41"/>
    <w:rsid w:val="0014505B"/>
    <w:rsid w:val="001452B5"/>
    <w:rsid w:val="00145F44"/>
    <w:rsid w:val="0014720D"/>
    <w:rsid w:val="00147A2C"/>
    <w:rsid w:val="00151C09"/>
    <w:rsid w:val="00155709"/>
    <w:rsid w:val="001570E0"/>
    <w:rsid w:val="00160719"/>
    <w:rsid w:val="00161E98"/>
    <w:rsid w:val="00161F22"/>
    <w:rsid w:val="00162759"/>
    <w:rsid w:val="001639E5"/>
    <w:rsid w:val="00163EB4"/>
    <w:rsid w:val="00164128"/>
    <w:rsid w:val="001659C0"/>
    <w:rsid w:val="00167FF4"/>
    <w:rsid w:val="00173655"/>
    <w:rsid w:val="00174A76"/>
    <w:rsid w:val="00175663"/>
    <w:rsid w:val="00175F80"/>
    <w:rsid w:val="00177014"/>
    <w:rsid w:val="0018077A"/>
    <w:rsid w:val="00181723"/>
    <w:rsid w:val="00183B64"/>
    <w:rsid w:val="00185FEE"/>
    <w:rsid w:val="00186118"/>
    <w:rsid w:val="00190D67"/>
    <w:rsid w:val="001910E0"/>
    <w:rsid w:val="00191950"/>
    <w:rsid w:val="00191EC8"/>
    <w:rsid w:val="00192B19"/>
    <w:rsid w:val="00193131"/>
    <w:rsid w:val="001940CC"/>
    <w:rsid w:val="00194BA7"/>
    <w:rsid w:val="001954C6"/>
    <w:rsid w:val="00195928"/>
    <w:rsid w:val="001A025C"/>
    <w:rsid w:val="001A0D1A"/>
    <w:rsid w:val="001A2329"/>
    <w:rsid w:val="001A4036"/>
    <w:rsid w:val="001A7915"/>
    <w:rsid w:val="001A794D"/>
    <w:rsid w:val="001B289D"/>
    <w:rsid w:val="001B3C7F"/>
    <w:rsid w:val="001B50AF"/>
    <w:rsid w:val="001B6D2D"/>
    <w:rsid w:val="001B772D"/>
    <w:rsid w:val="001B7975"/>
    <w:rsid w:val="001C02C5"/>
    <w:rsid w:val="001C0FE5"/>
    <w:rsid w:val="001C191F"/>
    <w:rsid w:val="001C20E7"/>
    <w:rsid w:val="001C2818"/>
    <w:rsid w:val="001C55D3"/>
    <w:rsid w:val="001D066A"/>
    <w:rsid w:val="001D1B7F"/>
    <w:rsid w:val="001D21BE"/>
    <w:rsid w:val="001D2374"/>
    <w:rsid w:val="001D237D"/>
    <w:rsid w:val="001D44EA"/>
    <w:rsid w:val="001D474E"/>
    <w:rsid w:val="001D5D22"/>
    <w:rsid w:val="001D6552"/>
    <w:rsid w:val="001D7EF3"/>
    <w:rsid w:val="001E7C6A"/>
    <w:rsid w:val="001F3036"/>
    <w:rsid w:val="001F36FC"/>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846"/>
    <w:rsid w:val="00217DE9"/>
    <w:rsid w:val="002208C9"/>
    <w:rsid w:val="00222224"/>
    <w:rsid w:val="002223AC"/>
    <w:rsid w:val="00223501"/>
    <w:rsid w:val="00223FB2"/>
    <w:rsid w:val="0022508C"/>
    <w:rsid w:val="002262F9"/>
    <w:rsid w:val="00232A6C"/>
    <w:rsid w:val="00236616"/>
    <w:rsid w:val="00236D50"/>
    <w:rsid w:val="0023769B"/>
    <w:rsid w:val="00244B00"/>
    <w:rsid w:val="00245B80"/>
    <w:rsid w:val="00246297"/>
    <w:rsid w:val="002472F4"/>
    <w:rsid w:val="00247865"/>
    <w:rsid w:val="0025131B"/>
    <w:rsid w:val="00251651"/>
    <w:rsid w:val="0025176D"/>
    <w:rsid w:val="00251D39"/>
    <w:rsid w:val="00251E5C"/>
    <w:rsid w:val="00252CF0"/>
    <w:rsid w:val="00253705"/>
    <w:rsid w:val="00253B2D"/>
    <w:rsid w:val="00254609"/>
    <w:rsid w:val="00254C83"/>
    <w:rsid w:val="00254D63"/>
    <w:rsid w:val="00257AAA"/>
    <w:rsid w:val="002611C1"/>
    <w:rsid w:val="00262302"/>
    <w:rsid w:val="00264627"/>
    <w:rsid w:val="0026492F"/>
    <w:rsid w:val="00264D71"/>
    <w:rsid w:val="00265F20"/>
    <w:rsid w:val="0026631A"/>
    <w:rsid w:val="00267650"/>
    <w:rsid w:val="002717DC"/>
    <w:rsid w:val="00274614"/>
    <w:rsid w:val="00275D34"/>
    <w:rsid w:val="00277EB5"/>
    <w:rsid w:val="00281571"/>
    <w:rsid w:val="002837DB"/>
    <w:rsid w:val="0028493B"/>
    <w:rsid w:val="00284A21"/>
    <w:rsid w:val="002865C3"/>
    <w:rsid w:val="00286DA8"/>
    <w:rsid w:val="00297777"/>
    <w:rsid w:val="002A2A54"/>
    <w:rsid w:val="002A3938"/>
    <w:rsid w:val="002A44F7"/>
    <w:rsid w:val="002A4852"/>
    <w:rsid w:val="002A59AB"/>
    <w:rsid w:val="002B1199"/>
    <w:rsid w:val="002B1E3B"/>
    <w:rsid w:val="002B33AF"/>
    <w:rsid w:val="002B364A"/>
    <w:rsid w:val="002B3B1E"/>
    <w:rsid w:val="002C1A3E"/>
    <w:rsid w:val="002C1F61"/>
    <w:rsid w:val="002C237C"/>
    <w:rsid w:val="002C24EB"/>
    <w:rsid w:val="002C282F"/>
    <w:rsid w:val="002C4F21"/>
    <w:rsid w:val="002C5F40"/>
    <w:rsid w:val="002C64AF"/>
    <w:rsid w:val="002D118F"/>
    <w:rsid w:val="002D12EB"/>
    <w:rsid w:val="002D4AB5"/>
    <w:rsid w:val="002D6A0D"/>
    <w:rsid w:val="002D72F3"/>
    <w:rsid w:val="002D7C24"/>
    <w:rsid w:val="002E0801"/>
    <w:rsid w:val="002E0982"/>
    <w:rsid w:val="002E1EC0"/>
    <w:rsid w:val="002E3130"/>
    <w:rsid w:val="002E36AC"/>
    <w:rsid w:val="002E3F3F"/>
    <w:rsid w:val="002E6E37"/>
    <w:rsid w:val="002E723D"/>
    <w:rsid w:val="002E7319"/>
    <w:rsid w:val="002E77C2"/>
    <w:rsid w:val="002F07A8"/>
    <w:rsid w:val="002F0966"/>
    <w:rsid w:val="002F2368"/>
    <w:rsid w:val="002F3C29"/>
    <w:rsid w:val="002F46EF"/>
    <w:rsid w:val="002F64FB"/>
    <w:rsid w:val="0030023B"/>
    <w:rsid w:val="00301A29"/>
    <w:rsid w:val="00304764"/>
    <w:rsid w:val="00305CE5"/>
    <w:rsid w:val="00306705"/>
    <w:rsid w:val="00310FC1"/>
    <w:rsid w:val="00311B32"/>
    <w:rsid w:val="00311D78"/>
    <w:rsid w:val="00312361"/>
    <w:rsid w:val="00312CE5"/>
    <w:rsid w:val="00312E35"/>
    <w:rsid w:val="00313AE9"/>
    <w:rsid w:val="0032218D"/>
    <w:rsid w:val="0032240B"/>
    <w:rsid w:val="00324435"/>
    <w:rsid w:val="003252BF"/>
    <w:rsid w:val="0033006E"/>
    <w:rsid w:val="00332EFA"/>
    <w:rsid w:val="003340B4"/>
    <w:rsid w:val="00335F36"/>
    <w:rsid w:val="00336F5F"/>
    <w:rsid w:val="00342E10"/>
    <w:rsid w:val="00343452"/>
    <w:rsid w:val="00344164"/>
    <w:rsid w:val="0035242B"/>
    <w:rsid w:val="003525A0"/>
    <w:rsid w:val="003531F4"/>
    <w:rsid w:val="0035539D"/>
    <w:rsid w:val="0035746B"/>
    <w:rsid w:val="00363A99"/>
    <w:rsid w:val="00365B72"/>
    <w:rsid w:val="00366A9E"/>
    <w:rsid w:val="00367CC9"/>
    <w:rsid w:val="00373E8A"/>
    <w:rsid w:val="0037483A"/>
    <w:rsid w:val="003754C4"/>
    <w:rsid w:val="00376696"/>
    <w:rsid w:val="00376AB9"/>
    <w:rsid w:val="00380865"/>
    <w:rsid w:val="00381297"/>
    <w:rsid w:val="00381483"/>
    <w:rsid w:val="00381509"/>
    <w:rsid w:val="00381FE9"/>
    <w:rsid w:val="0038370B"/>
    <w:rsid w:val="00384A05"/>
    <w:rsid w:val="00384FFA"/>
    <w:rsid w:val="00386ED5"/>
    <w:rsid w:val="003906D7"/>
    <w:rsid w:val="0039084D"/>
    <w:rsid w:val="00390D6D"/>
    <w:rsid w:val="00391407"/>
    <w:rsid w:val="00391538"/>
    <w:rsid w:val="003944C6"/>
    <w:rsid w:val="00395C32"/>
    <w:rsid w:val="003967F4"/>
    <w:rsid w:val="003973A7"/>
    <w:rsid w:val="003A1C77"/>
    <w:rsid w:val="003A31B6"/>
    <w:rsid w:val="003B17B6"/>
    <w:rsid w:val="003B2822"/>
    <w:rsid w:val="003B2F17"/>
    <w:rsid w:val="003B39FF"/>
    <w:rsid w:val="003B4E99"/>
    <w:rsid w:val="003B5009"/>
    <w:rsid w:val="003B535C"/>
    <w:rsid w:val="003B6B4B"/>
    <w:rsid w:val="003B7E3B"/>
    <w:rsid w:val="003C0262"/>
    <w:rsid w:val="003C37AB"/>
    <w:rsid w:val="003D0AD6"/>
    <w:rsid w:val="003D1330"/>
    <w:rsid w:val="003D1561"/>
    <w:rsid w:val="003D2F5C"/>
    <w:rsid w:val="003D3C83"/>
    <w:rsid w:val="003D65E0"/>
    <w:rsid w:val="003E0551"/>
    <w:rsid w:val="003E3154"/>
    <w:rsid w:val="003E6C81"/>
    <w:rsid w:val="003E794C"/>
    <w:rsid w:val="003F1537"/>
    <w:rsid w:val="003F166E"/>
    <w:rsid w:val="003F1AF8"/>
    <w:rsid w:val="003F469B"/>
    <w:rsid w:val="003F5129"/>
    <w:rsid w:val="003F5732"/>
    <w:rsid w:val="003F6830"/>
    <w:rsid w:val="003F7FE7"/>
    <w:rsid w:val="004017C8"/>
    <w:rsid w:val="0040270A"/>
    <w:rsid w:val="00402B4C"/>
    <w:rsid w:val="0040490B"/>
    <w:rsid w:val="00407101"/>
    <w:rsid w:val="00407EC0"/>
    <w:rsid w:val="00410C40"/>
    <w:rsid w:val="004223E1"/>
    <w:rsid w:val="00422452"/>
    <w:rsid w:val="0042260D"/>
    <w:rsid w:val="00423DF5"/>
    <w:rsid w:val="00425258"/>
    <w:rsid w:val="0043029D"/>
    <w:rsid w:val="004334F1"/>
    <w:rsid w:val="0043584C"/>
    <w:rsid w:val="00442F65"/>
    <w:rsid w:val="0044337F"/>
    <w:rsid w:val="00444A0C"/>
    <w:rsid w:val="00444F33"/>
    <w:rsid w:val="00447647"/>
    <w:rsid w:val="00447AB4"/>
    <w:rsid w:val="00450240"/>
    <w:rsid w:val="00452AD7"/>
    <w:rsid w:val="00454AE6"/>
    <w:rsid w:val="00460353"/>
    <w:rsid w:val="0046218D"/>
    <w:rsid w:val="00463A1D"/>
    <w:rsid w:val="00464C3C"/>
    <w:rsid w:val="00465774"/>
    <w:rsid w:val="004667CF"/>
    <w:rsid w:val="00470B89"/>
    <w:rsid w:val="00473B33"/>
    <w:rsid w:val="004755F3"/>
    <w:rsid w:val="004767A9"/>
    <w:rsid w:val="00477495"/>
    <w:rsid w:val="00477B96"/>
    <w:rsid w:val="00477F0A"/>
    <w:rsid w:val="00480DD5"/>
    <w:rsid w:val="004822C2"/>
    <w:rsid w:val="00484BD8"/>
    <w:rsid w:val="00486FF3"/>
    <w:rsid w:val="00490062"/>
    <w:rsid w:val="0049141E"/>
    <w:rsid w:val="0049174C"/>
    <w:rsid w:val="00495802"/>
    <w:rsid w:val="004961F0"/>
    <w:rsid w:val="00497139"/>
    <w:rsid w:val="004975E8"/>
    <w:rsid w:val="004A178C"/>
    <w:rsid w:val="004A3CF8"/>
    <w:rsid w:val="004A59CC"/>
    <w:rsid w:val="004A627E"/>
    <w:rsid w:val="004A73B9"/>
    <w:rsid w:val="004B13EA"/>
    <w:rsid w:val="004B14A4"/>
    <w:rsid w:val="004B2BD9"/>
    <w:rsid w:val="004B2E6B"/>
    <w:rsid w:val="004B5F32"/>
    <w:rsid w:val="004B73C8"/>
    <w:rsid w:val="004C26E4"/>
    <w:rsid w:val="004C315B"/>
    <w:rsid w:val="004C36B5"/>
    <w:rsid w:val="004C4596"/>
    <w:rsid w:val="004C72D2"/>
    <w:rsid w:val="004C7597"/>
    <w:rsid w:val="004C7852"/>
    <w:rsid w:val="004C7DEE"/>
    <w:rsid w:val="004D57DD"/>
    <w:rsid w:val="004E35A8"/>
    <w:rsid w:val="004E3F30"/>
    <w:rsid w:val="004F219D"/>
    <w:rsid w:val="004F4866"/>
    <w:rsid w:val="004F5E87"/>
    <w:rsid w:val="005064F3"/>
    <w:rsid w:val="0050798F"/>
    <w:rsid w:val="00507C23"/>
    <w:rsid w:val="00511927"/>
    <w:rsid w:val="0051433D"/>
    <w:rsid w:val="005166BC"/>
    <w:rsid w:val="00516D15"/>
    <w:rsid w:val="00521E1B"/>
    <w:rsid w:val="00524D29"/>
    <w:rsid w:val="00527960"/>
    <w:rsid w:val="00527BF7"/>
    <w:rsid w:val="0053049B"/>
    <w:rsid w:val="00531E52"/>
    <w:rsid w:val="00532996"/>
    <w:rsid w:val="00532B05"/>
    <w:rsid w:val="00534785"/>
    <w:rsid w:val="005378E7"/>
    <w:rsid w:val="00540644"/>
    <w:rsid w:val="00540826"/>
    <w:rsid w:val="00540F6A"/>
    <w:rsid w:val="0054221F"/>
    <w:rsid w:val="00550ED3"/>
    <w:rsid w:val="00551250"/>
    <w:rsid w:val="00551A16"/>
    <w:rsid w:val="00554703"/>
    <w:rsid w:val="00555271"/>
    <w:rsid w:val="005553D9"/>
    <w:rsid w:val="00556D9D"/>
    <w:rsid w:val="0055782B"/>
    <w:rsid w:val="005605E1"/>
    <w:rsid w:val="00565189"/>
    <w:rsid w:val="00565242"/>
    <w:rsid w:val="005668AE"/>
    <w:rsid w:val="00566DC9"/>
    <w:rsid w:val="00567295"/>
    <w:rsid w:val="0056781B"/>
    <w:rsid w:val="00570113"/>
    <w:rsid w:val="00572081"/>
    <w:rsid w:val="00572B7F"/>
    <w:rsid w:val="00573B48"/>
    <w:rsid w:val="00576E89"/>
    <w:rsid w:val="005800DD"/>
    <w:rsid w:val="00582876"/>
    <w:rsid w:val="005835BF"/>
    <w:rsid w:val="00584400"/>
    <w:rsid w:val="00587AEF"/>
    <w:rsid w:val="00590BDD"/>
    <w:rsid w:val="00590FB9"/>
    <w:rsid w:val="00592FA5"/>
    <w:rsid w:val="0059336C"/>
    <w:rsid w:val="005A0007"/>
    <w:rsid w:val="005A0DDC"/>
    <w:rsid w:val="005A2113"/>
    <w:rsid w:val="005A2295"/>
    <w:rsid w:val="005A23D1"/>
    <w:rsid w:val="005A2ABE"/>
    <w:rsid w:val="005A2C4F"/>
    <w:rsid w:val="005A620A"/>
    <w:rsid w:val="005B09DA"/>
    <w:rsid w:val="005B370A"/>
    <w:rsid w:val="005B3EE0"/>
    <w:rsid w:val="005B4EA3"/>
    <w:rsid w:val="005B560A"/>
    <w:rsid w:val="005B57E6"/>
    <w:rsid w:val="005B69A4"/>
    <w:rsid w:val="005B6BBD"/>
    <w:rsid w:val="005B795C"/>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D428E"/>
    <w:rsid w:val="005E073D"/>
    <w:rsid w:val="005E0AFE"/>
    <w:rsid w:val="005E14C2"/>
    <w:rsid w:val="005E3A37"/>
    <w:rsid w:val="005E6CDA"/>
    <w:rsid w:val="005E7D64"/>
    <w:rsid w:val="005F4357"/>
    <w:rsid w:val="005F5504"/>
    <w:rsid w:val="005F6095"/>
    <w:rsid w:val="005F60CC"/>
    <w:rsid w:val="005F72C3"/>
    <w:rsid w:val="00603960"/>
    <w:rsid w:val="00604610"/>
    <w:rsid w:val="00605F1B"/>
    <w:rsid w:val="00606AE8"/>
    <w:rsid w:val="00610B0F"/>
    <w:rsid w:val="00613FC7"/>
    <w:rsid w:val="006148B5"/>
    <w:rsid w:val="00615211"/>
    <w:rsid w:val="00616372"/>
    <w:rsid w:val="00617122"/>
    <w:rsid w:val="00620607"/>
    <w:rsid w:val="00620B25"/>
    <w:rsid w:val="00623796"/>
    <w:rsid w:val="00623986"/>
    <w:rsid w:val="00624178"/>
    <w:rsid w:val="0062458A"/>
    <w:rsid w:val="00625481"/>
    <w:rsid w:val="00633A4A"/>
    <w:rsid w:val="00633DC8"/>
    <w:rsid w:val="006342AF"/>
    <w:rsid w:val="00635F69"/>
    <w:rsid w:val="00636332"/>
    <w:rsid w:val="006363C2"/>
    <w:rsid w:val="006421C6"/>
    <w:rsid w:val="006444C2"/>
    <w:rsid w:val="00645336"/>
    <w:rsid w:val="00645801"/>
    <w:rsid w:val="00646F65"/>
    <w:rsid w:val="00647B8E"/>
    <w:rsid w:val="00651BB9"/>
    <w:rsid w:val="00652678"/>
    <w:rsid w:val="00653BDC"/>
    <w:rsid w:val="00656D0A"/>
    <w:rsid w:val="006655B3"/>
    <w:rsid w:val="006714D5"/>
    <w:rsid w:val="00671E3F"/>
    <w:rsid w:val="006723BB"/>
    <w:rsid w:val="00674FA3"/>
    <w:rsid w:val="006754BB"/>
    <w:rsid w:val="00675B10"/>
    <w:rsid w:val="006760AC"/>
    <w:rsid w:val="00677AB2"/>
    <w:rsid w:val="00677DFD"/>
    <w:rsid w:val="00680AB2"/>
    <w:rsid w:val="00684262"/>
    <w:rsid w:val="006858BB"/>
    <w:rsid w:val="00690562"/>
    <w:rsid w:val="0069177B"/>
    <w:rsid w:val="00693D89"/>
    <w:rsid w:val="006A0992"/>
    <w:rsid w:val="006A0EF6"/>
    <w:rsid w:val="006A3E9B"/>
    <w:rsid w:val="006A55A0"/>
    <w:rsid w:val="006A59E3"/>
    <w:rsid w:val="006A6E52"/>
    <w:rsid w:val="006B0C93"/>
    <w:rsid w:val="006B290E"/>
    <w:rsid w:val="006B7CE4"/>
    <w:rsid w:val="006C0957"/>
    <w:rsid w:val="006C0AE3"/>
    <w:rsid w:val="006C1138"/>
    <w:rsid w:val="006C12D2"/>
    <w:rsid w:val="006C2CC2"/>
    <w:rsid w:val="006C60C4"/>
    <w:rsid w:val="006D1C09"/>
    <w:rsid w:val="006D2A3F"/>
    <w:rsid w:val="006D3308"/>
    <w:rsid w:val="006D395C"/>
    <w:rsid w:val="006D3CDA"/>
    <w:rsid w:val="006E1571"/>
    <w:rsid w:val="006E17F6"/>
    <w:rsid w:val="006E3073"/>
    <w:rsid w:val="006E45EA"/>
    <w:rsid w:val="006F071A"/>
    <w:rsid w:val="006F15DD"/>
    <w:rsid w:val="006F1AB3"/>
    <w:rsid w:val="006F582A"/>
    <w:rsid w:val="006F701E"/>
    <w:rsid w:val="006F731F"/>
    <w:rsid w:val="006F764D"/>
    <w:rsid w:val="00700C56"/>
    <w:rsid w:val="0070169A"/>
    <w:rsid w:val="0070267F"/>
    <w:rsid w:val="007037F3"/>
    <w:rsid w:val="00705B1B"/>
    <w:rsid w:val="0071066E"/>
    <w:rsid w:val="00710C93"/>
    <w:rsid w:val="00712AC7"/>
    <w:rsid w:val="00715DC2"/>
    <w:rsid w:val="0071740F"/>
    <w:rsid w:val="007205F8"/>
    <w:rsid w:val="0072140B"/>
    <w:rsid w:val="007214AD"/>
    <w:rsid w:val="00724333"/>
    <w:rsid w:val="0072477C"/>
    <w:rsid w:val="0072556B"/>
    <w:rsid w:val="007265B9"/>
    <w:rsid w:val="007276C9"/>
    <w:rsid w:val="00727A5C"/>
    <w:rsid w:val="007325A5"/>
    <w:rsid w:val="0073294E"/>
    <w:rsid w:val="00737159"/>
    <w:rsid w:val="00745E1E"/>
    <w:rsid w:val="007473F1"/>
    <w:rsid w:val="00753CE4"/>
    <w:rsid w:val="00756964"/>
    <w:rsid w:val="007574F3"/>
    <w:rsid w:val="0076003C"/>
    <w:rsid w:val="00760771"/>
    <w:rsid w:val="0076334C"/>
    <w:rsid w:val="00764DB7"/>
    <w:rsid w:val="0076726B"/>
    <w:rsid w:val="00767511"/>
    <w:rsid w:val="00773D7F"/>
    <w:rsid w:val="0077461B"/>
    <w:rsid w:val="00780CC3"/>
    <w:rsid w:val="007815D5"/>
    <w:rsid w:val="00781B8A"/>
    <w:rsid w:val="00782968"/>
    <w:rsid w:val="007830F2"/>
    <w:rsid w:val="007840B4"/>
    <w:rsid w:val="00786BDB"/>
    <w:rsid w:val="00787CC3"/>
    <w:rsid w:val="00787E08"/>
    <w:rsid w:val="007903D0"/>
    <w:rsid w:val="00791811"/>
    <w:rsid w:val="00792DED"/>
    <w:rsid w:val="00794B18"/>
    <w:rsid w:val="007A0362"/>
    <w:rsid w:val="007A0E73"/>
    <w:rsid w:val="007A137D"/>
    <w:rsid w:val="007A1830"/>
    <w:rsid w:val="007A3660"/>
    <w:rsid w:val="007A3B2E"/>
    <w:rsid w:val="007A3B43"/>
    <w:rsid w:val="007A47FE"/>
    <w:rsid w:val="007A5BB8"/>
    <w:rsid w:val="007B0F9B"/>
    <w:rsid w:val="007B1EBA"/>
    <w:rsid w:val="007B2AF9"/>
    <w:rsid w:val="007B2CB5"/>
    <w:rsid w:val="007B4000"/>
    <w:rsid w:val="007B5645"/>
    <w:rsid w:val="007C0710"/>
    <w:rsid w:val="007C1817"/>
    <w:rsid w:val="007C303D"/>
    <w:rsid w:val="007C43D2"/>
    <w:rsid w:val="007C6879"/>
    <w:rsid w:val="007D134A"/>
    <w:rsid w:val="007D17D6"/>
    <w:rsid w:val="007D7C0B"/>
    <w:rsid w:val="007D7F13"/>
    <w:rsid w:val="007E050F"/>
    <w:rsid w:val="007E1872"/>
    <w:rsid w:val="007E2182"/>
    <w:rsid w:val="007E3567"/>
    <w:rsid w:val="007E402F"/>
    <w:rsid w:val="007F1186"/>
    <w:rsid w:val="007F6CF4"/>
    <w:rsid w:val="007F71E4"/>
    <w:rsid w:val="00801471"/>
    <w:rsid w:val="00804998"/>
    <w:rsid w:val="00804F55"/>
    <w:rsid w:val="008055AF"/>
    <w:rsid w:val="008057FD"/>
    <w:rsid w:val="00806F0D"/>
    <w:rsid w:val="00810CE3"/>
    <w:rsid w:val="00810DF6"/>
    <w:rsid w:val="00812E37"/>
    <w:rsid w:val="00814098"/>
    <w:rsid w:val="008142F7"/>
    <w:rsid w:val="00816203"/>
    <w:rsid w:val="0081654B"/>
    <w:rsid w:val="008177C0"/>
    <w:rsid w:val="00823FDF"/>
    <w:rsid w:val="00825DCD"/>
    <w:rsid w:val="00826162"/>
    <w:rsid w:val="008276D9"/>
    <w:rsid w:val="00830438"/>
    <w:rsid w:val="00832752"/>
    <w:rsid w:val="008327BC"/>
    <w:rsid w:val="0083300C"/>
    <w:rsid w:val="00840ED5"/>
    <w:rsid w:val="0084215E"/>
    <w:rsid w:val="008429E7"/>
    <w:rsid w:val="00843777"/>
    <w:rsid w:val="008442EA"/>
    <w:rsid w:val="00845816"/>
    <w:rsid w:val="008509EA"/>
    <w:rsid w:val="0085104E"/>
    <w:rsid w:val="008511EA"/>
    <w:rsid w:val="00851682"/>
    <w:rsid w:val="00851D11"/>
    <w:rsid w:val="00854D52"/>
    <w:rsid w:val="00856EFD"/>
    <w:rsid w:val="00862404"/>
    <w:rsid w:val="00862B21"/>
    <w:rsid w:val="00863011"/>
    <w:rsid w:val="00864A15"/>
    <w:rsid w:val="00865863"/>
    <w:rsid w:val="0086729D"/>
    <w:rsid w:val="008674B0"/>
    <w:rsid w:val="00870468"/>
    <w:rsid w:val="008716D6"/>
    <w:rsid w:val="00872971"/>
    <w:rsid w:val="00872E54"/>
    <w:rsid w:val="00875BAD"/>
    <w:rsid w:val="0088195A"/>
    <w:rsid w:val="00882959"/>
    <w:rsid w:val="0088579E"/>
    <w:rsid w:val="0088703B"/>
    <w:rsid w:val="008875C2"/>
    <w:rsid w:val="008876C3"/>
    <w:rsid w:val="00890DC7"/>
    <w:rsid w:val="00893782"/>
    <w:rsid w:val="00894C29"/>
    <w:rsid w:val="00895FA1"/>
    <w:rsid w:val="008A005A"/>
    <w:rsid w:val="008A1581"/>
    <w:rsid w:val="008A4B02"/>
    <w:rsid w:val="008A519E"/>
    <w:rsid w:val="008A559E"/>
    <w:rsid w:val="008A5B1A"/>
    <w:rsid w:val="008B0B59"/>
    <w:rsid w:val="008B21D8"/>
    <w:rsid w:val="008B4405"/>
    <w:rsid w:val="008B5E1B"/>
    <w:rsid w:val="008B7C88"/>
    <w:rsid w:val="008C2DFE"/>
    <w:rsid w:val="008C3747"/>
    <w:rsid w:val="008C5753"/>
    <w:rsid w:val="008C67E2"/>
    <w:rsid w:val="008C716D"/>
    <w:rsid w:val="008C773A"/>
    <w:rsid w:val="008D1557"/>
    <w:rsid w:val="008D3294"/>
    <w:rsid w:val="008D3BD9"/>
    <w:rsid w:val="008E6721"/>
    <w:rsid w:val="008E7093"/>
    <w:rsid w:val="008E7D13"/>
    <w:rsid w:val="008F13FA"/>
    <w:rsid w:val="008F26EE"/>
    <w:rsid w:val="008F41CA"/>
    <w:rsid w:val="008F6E36"/>
    <w:rsid w:val="008F6F45"/>
    <w:rsid w:val="009001A5"/>
    <w:rsid w:val="009004D7"/>
    <w:rsid w:val="009041C2"/>
    <w:rsid w:val="00906706"/>
    <w:rsid w:val="00910A3D"/>
    <w:rsid w:val="00911396"/>
    <w:rsid w:val="0091147B"/>
    <w:rsid w:val="00912B54"/>
    <w:rsid w:val="00914A2A"/>
    <w:rsid w:val="00915B2A"/>
    <w:rsid w:val="00915DEB"/>
    <w:rsid w:val="009166EC"/>
    <w:rsid w:val="00917406"/>
    <w:rsid w:val="00923098"/>
    <w:rsid w:val="0092384C"/>
    <w:rsid w:val="00923C11"/>
    <w:rsid w:val="009243CC"/>
    <w:rsid w:val="009305C2"/>
    <w:rsid w:val="009305FF"/>
    <w:rsid w:val="00933898"/>
    <w:rsid w:val="00934EBE"/>
    <w:rsid w:val="0093562A"/>
    <w:rsid w:val="00935F30"/>
    <w:rsid w:val="0093608F"/>
    <w:rsid w:val="00936453"/>
    <w:rsid w:val="00936A9E"/>
    <w:rsid w:val="00937C1F"/>
    <w:rsid w:val="009408BD"/>
    <w:rsid w:val="00940A71"/>
    <w:rsid w:val="009426AE"/>
    <w:rsid w:val="00947C0B"/>
    <w:rsid w:val="00947E86"/>
    <w:rsid w:val="009522F7"/>
    <w:rsid w:val="00956307"/>
    <w:rsid w:val="00957428"/>
    <w:rsid w:val="00957899"/>
    <w:rsid w:val="00962A08"/>
    <w:rsid w:val="009630E3"/>
    <w:rsid w:val="00965268"/>
    <w:rsid w:val="00965659"/>
    <w:rsid w:val="0096651A"/>
    <w:rsid w:val="009672E0"/>
    <w:rsid w:val="00970524"/>
    <w:rsid w:val="00972D20"/>
    <w:rsid w:val="00982215"/>
    <w:rsid w:val="00982B5C"/>
    <w:rsid w:val="00982E35"/>
    <w:rsid w:val="00985F9B"/>
    <w:rsid w:val="009931F5"/>
    <w:rsid w:val="0099402C"/>
    <w:rsid w:val="009944CA"/>
    <w:rsid w:val="00994DAD"/>
    <w:rsid w:val="009953AC"/>
    <w:rsid w:val="009975BA"/>
    <w:rsid w:val="009A0E2D"/>
    <w:rsid w:val="009A165A"/>
    <w:rsid w:val="009A371A"/>
    <w:rsid w:val="009A3CA7"/>
    <w:rsid w:val="009A4059"/>
    <w:rsid w:val="009A6A14"/>
    <w:rsid w:val="009A7AEC"/>
    <w:rsid w:val="009B1BE7"/>
    <w:rsid w:val="009B1EC8"/>
    <w:rsid w:val="009B30A4"/>
    <w:rsid w:val="009B343C"/>
    <w:rsid w:val="009B45EF"/>
    <w:rsid w:val="009C2021"/>
    <w:rsid w:val="009C2EC3"/>
    <w:rsid w:val="009C57C0"/>
    <w:rsid w:val="009C6A99"/>
    <w:rsid w:val="009C74EA"/>
    <w:rsid w:val="009C7958"/>
    <w:rsid w:val="009D2230"/>
    <w:rsid w:val="009D2C6A"/>
    <w:rsid w:val="009D2EEB"/>
    <w:rsid w:val="009D3B72"/>
    <w:rsid w:val="009D3D26"/>
    <w:rsid w:val="009D4929"/>
    <w:rsid w:val="009D4DD1"/>
    <w:rsid w:val="009D64C4"/>
    <w:rsid w:val="009D6BA6"/>
    <w:rsid w:val="009D7145"/>
    <w:rsid w:val="009D7B2D"/>
    <w:rsid w:val="009D7B5B"/>
    <w:rsid w:val="009D7D96"/>
    <w:rsid w:val="009D7EE4"/>
    <w:rsid w:val="009E0416"/>
    <w:rsid w:val="009E0DBB"/>
    <w:rsid w:val="009E0EC5"/>
    <w:rsid w:val="009E1040"/>
    <w:rsid w:val="009E413E"/>
    <w:rsid w:val="009E427D"/>
    <w:rsid w:val="009E5E3C"/>
    <w:rsid w:val="009E7E81"/>
    <w:rsid w:val="009F0229"/>
    <w:rsid w:val="009F1D53"/>
    <w:rsid w:val="009F2449"/>
    <w:rsid w:val="009F2A45"/>
    <w:rsid w:val="009F62E8"/>
    <w:rsid w:val="009F7C49"/>
    <w:rsid w:val="009F7E4D"/>
    <w:rsid w:val="00A02544"/>
    <w:rsid w:val="00A05560"/>
    <w:rsid w:val="00A06FE6"/>
    <w:rsid w:val="00A07C17"/>
    <w:rsid w:val="00A112A4"/>
    <w:rsid w:val="00A12C2D"/>
    <w:rsid w:val="00A133C0"/>
    <w:rsid w:val="00A156CA"/>
    <w:rsid w:val="00A16875"/>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477F2"/>
    <w:rsid w:val="00A47CCB"/>
    <w:rsid w:val="00A501D1"/>
    <w:rsid w:val="00A5050D"/>
    <w:rsid w:val="00A5492F"/>
    <w:rsid w:val="00A55A72"/>
    <w:rsid w:val="00A60167"/>
    <w:rsid w:val="00A60C7B"/>
    <w:rsid w:val="00A644F3"/>
    <w:rsid w:val="00A6702E"/>
    <w:rsid w:val="00A679FA"/>
    <w:rsid w:val="00A7061A"/>
    <w:rsid w:val="00A70DF3"/>
    <w:rsid w:val="00A71C64"/>
    <w:rsid w:val="00A73EFE"/>
    <w:rsid w:val="00A7401F"/>
    <w:rsid w:val="00A74292"/>
    <w:rsid w:val="00A762B7"/>
    <w:rsid w:val="00A76384"/>
    <w:rsid w:val="00A769B8"/>
    <w:rsid w:val="00A7732F"/>
    <w:rsid w:val="00A77A5A"/>
    <w:rsid w:val="00A803AC"/>
    <w:rsid w:val="00A810C7"/>
    <w:rsid w:val="00A81AA4"/>
    <w:rsid w:val="00A8200C"/>
    <w:rsid w:val="00A8200F"/>
    <w:rsid w:val="00A82522"/>
    <w:rsid w:val="00A83296"/>
    <w:rsid w:val="00A840CE"/>
    <w:rsid w:val="00A84D72"/>
    <w:rsid w:val="00A932CC"/>
    <w:rsid w:val="00A93B05"/>
    <w:rsid w:val="00A9457B"/>
    <w:rsid w:val="00A95EC4"/>
    <w:rsid w:val="00A97B64"/>
    <w:rsid w:val="00AA2D98"/>
    <w:rsid w:val="00AA31E4"/>
    <w:rsid w:val="00AA3DB0"/>
    <w:rsid w:val="00AB2787"/>
    <w:rsid w:val="00AB32F2"/>
    <w:rsid w:val="00AB368D"/>
    <w:rsid w:val="00AB4D40"/>
    <w:rsid w:val="00AB4D5F"/>
    <w:rsid w:val="00AB719C"/>
    <w:rsid w:val="00AB77B6"/>
    <w:rsid w:val="00AC17DF"/>
    <w:rsid w:val="00AC1993"/>
    <w:rsid w:val="00AC3652"/>
    <w:rsid w:val="00AC381C"/>
    <w:rsid w:val="00AC621E"/>
    <w:rsid w:val="00AC6C0E"/>
    <w:rsid w:val="00AC6CF6"/>
    <w:rsid w:val="00AC7DAD"/>
    <w:rsid w:val="00AD4C5E"/>
    <w:rsid w:val="00AD63B8"/>
    <w:rsid w:val="00AD7294"/>
    <w:rsid w:val="00AE338D"/>
    <w:rsid w:val="00AE4860"/>
    <w:rsid w:val="00AE58CA"/>
    <w:rsid w:val="00AE5B42"/>
    <w:rsid w:val="00AE5B87"/>
    <w:rsid w:val="00AE5BD2"/>
    <w:rsid w:val="00AE68B7"/>
    <w:rsid w:val="00AE6C84"/>
    <w:rsid w:val="00AE7F7A"/>
    <w:rsid w:val="00AF2E78"/>
    <w:rsid w:val="00AF48D2"/>
    <w:rsid w:val="00AF4B67"/>
    <w:rsid w:val="00AF517A"/>
    <w:rsid w:val="00AF603A"/>
    <w:rsid w:val="00AF6FF8"/>
    <w:rsid w:val="00B000F5"/>
    <w:rsid w:val="00B001B1"/>
    <w:rsid w:val="00B00392"/>
    <w:rsid w:val="00B0137C"/>
    <w:rsid w:val="00B0189E"/>
    <w:rsid w:val="00B02532"/>
    <w:rsid w:val="00B02C7D"/>
    <w:rsid w:val="00B039F0"/>
    <w:rsid w:val="00B0404B"/>
    <w:rsid w:val="00B05719"/>
    <w:rsid w:val="00B06022"/>
    <w:rsid w:val="00B10168"/>
    <w:rsid w:val="00B10BF8"/>
    <w:rsid w:val="00B12D8D"/>
    <w:rsid w:val="00B13CAD"/>
    <w:rsid w:val="00B14C97"/>
    <w:rsid w:val="00B16A64"/>
    <w:rsid w:val="00B2194E"/>
    <w:rsid w:val="00B21E76"/>
    <w:rsid w:val="00B21FC7"/>
    <w:rsid w:val="00B238CA"/>
    <w:rsid w:val="00B24A43"/>
    <w:rsid w:val="00B25118"/>
    <w:rsid w:val="00B2543A"/>
    <w:rsid w:val="00B26E66"/>
    <w:rsid w:val="00B27F7A"/>
    <w:rsid w:val="00B435CC"/>
    <w:rsid w:val="00B44D33"/>
    <w:rsid w:val="00B45692"/>
    <w:rsid w:val="00B507F8"/>
    <w:rsid w:val="00B55120"/>
    <w:rsid w:val="00B56C9D"/>
    <w:rsid w:val="00B56D3E"/>
    <w:rsid w:val="00B56E2F"/>
    <w:rsid w:val="00B622E4"/>
    <w:rsid w:val="00B62914"/>
    <w:rsid w:val="00B62F08"/>
    <w:rsid w:val="00B63BE3"/>
    <w:rsid w:val="00B63E8F"/>
    <w:rsid w:val="00B66521"/>
    <w:rsid w:val="00B6662E"/>
    <w:rsid w:val="00B66631"/>
    <w:rsid w:val="00B6703A"/>
    <w:rsid w:val="00B675EC"/>
    <w:rsid w:val="00B71068"/>
    <w:rsid w:val="00B722B2"/>
    <w:rsid w:val="00B723B7"/>
    <w:rsid w:val="00B74F3D"/>
    <w:rsid w:val="00B774DF"/>
    <w:rsid w:val="00B82F3C"/>
    <w:rsid w:val="00B830D8"/>
    <w:rsid w:val="00B830EA"/>
    <w:rsid w:val="00B86E62"/>
    <w:rsid w:val="00B92AF6"/>
    <w:rsid w:val="00B93122"/>
    <w:rsid w:val="00B93A28"/>
    <w:rsid w:val="00B952DF"/>
    <w:rsid w:val="00B96696"/>
    <w:rsid w:val="00B96CA7"/>
    <w:rsid w:val="00BA0273"/>
    <w:rsid w:val="00BA2EF0"/>
    <w:rsid w:val="00BA511F"/>
    <w:rsid w:val="00BA56BE"/>
    <w:rsid w:val="00BA7C70"/>
    <w:rsid w:val="00BB082A"/>
    <w:rsid w:val="00BB13AA"/>
    <w:rsid w:val="00BB26F5"/>
    <w:rsid w:val="00BB2C93"/>
    <w:rsid w:val="00BB3D35"/>
    <w:rsid w:val="00BB51D9"/>
    <w:rsid w:val="00BB6C14"/>
    <w:rsid w:val="00BC155B"/>
    <w:rsid w:val="00BC1844"/>
    <w:rsid w:val="00BC18F7"/>
    <w:rsid w:val="00BC3B0A"/>
    <w:rsid w:val="00BC693F"/>
    <w:rsid w:val="00BC6C17"/>
    <w:rsid w:val="00BC6E91"/>
    <w:rsid w:val="00BC77ED"/>
    <w:rsid w:val="00BC7A10"/>
    <w:rsid w:val="00BD1D01"/>
    <w:rsid w:val="00BD28DF"/>
    <w:rsid w:val="00BD31FF"/>
    <w:rsid w:val="00BD447A"/>
    <w:rsid w:val="00BD4DA2"/>
    <w:rsid w:val="00BD7041"/>
    <w:rsid w:val="00BD7714"/>
    <w:rsid w:val="00BE0E31"/>
    <w:rsid w:val="00BE134B"/>
    <w:rsid w:val="00BE3933"/>
    <w:rsid w:val="00BE5400"/>
    <w:rsid w:val="00BE6D23"/>
    <w:rsid w:val="00BE6E48"/>
    <w:rsid w:val="00BF0830"/>
    <w:rsid w:val="00BF3CC4"/>
    <w:rsid w:val="00BF4180"/>
    <w:rsid w:val="00BF554B"/>
    <w:rsid w:val="00BF60D1"/>
    <w:rsid w:val="00BF698B"/>
    <w:rsid w:val="00C00D2D"/>
    <w:rsid w:val="00C06ABB"/>
    <w:rsid w:val="00C10430"/>
    <w:rsid w:val="00C1132F"/>
    <w:rsid w:val="00C12A3B"/>
    <w:rsid w:val="00C12CD1"/>
    <w:rsid w:val="00C1360C"/>
    <w:rsid w:val="00C13774"/>
    <w:rsid w:val="00C139F3"/>
    <w:rsid w:val="00C21E95"/>
    <w:rsid w:val="00C22408"/>
    <w:rsid w:val="00C244C4"/>
    <w:rsid w:val="00C26211"/>
    <w:rsid w:val="00C314B1"/>
    <w:rsid w:val="00C33447"/>
    <w:rsid w:val="00C33F1B"/>
    <w:rsid w:val="00C3586D"/>
    <w:rsid w:val="00C35F6E"/>
    <w:rsid w:val="00C36FDD"/>
    <w:rsid w:val="00C42823"/>
    <w:rsid w:val="00C4653F"/>
    <w:rsid w:val="00C4755E"/>
    <w:rsid w:val="00C5045D"/>
    <w:rsid w:val="00C5362B"/>
    <w:rsid w:val="00C570A8"/>
    <w:rsid w:val="00C601AF"/>
    <w:rsid w:val="00C61018"/>
    <w:rsid w:val="00C6231D"/>
    <w:rsid w:val="00C649B8"/>
    <w:rsid w:val="00C65CF7"/>
    <w:rsid w:val="00C70BE3"/>
    <w:rsid w:val="00C717D9"/>
    <w:rsid w:val="00C722C3"/>
    <w:rsid w:val="00C730CE"/>
    <w:rsid w:val="00C7341F"/>
    <w:rsid w:val="00C73B84"/>
    <w:rsid w:val="00C75602"/>
    <w:rsid w:val="00C75802"/>
    <w:rsid w:val="00C759F7"/>
    <w:rsid w:val="00C80E33"/>
    <w:rsid w:val="00C815DB"/>
    <w:rsid w:val="00C8166C"/>
    <w:rsid w:val="00C837E8"/>
    <w:rsid w:val="00C84E72"/>
    <w:rsid w:val="00C8503B"/>
    <w:rsid w:val="00C8608C"/>
    <w:rsid w:val="00C8637D"/>
    <w:rsid w:val="00C86D1F"/>
    <w:rsid w:val="00C87171"/>
    <w:rsid w:val="00C91578"/>
    <w:rsid w:val="00C9187E"/>
    <w:rsid w:val="00C9235E"/>
    <w:rsid w:val="00C92A59"/>
    <w:rsid w:val="00C9409D"/>
    <w:rsid w:val="00CA420A"/>
    <w:rsid w:val="00CA49E9"/>
    <w:rsid w:val="00CA6331"/>
    <w:rsid w:val="00CA79B3"/>
    <w:rsid w:val="00CA7EB9"/>
    <w:rsid w:val="00CB0026"/>
    <w:rsid w:val="00CB01AA"/>
    <w:rsid w:val="00CB1B0F"/>
    <w:rsid w:val="00CB2363"/>
    <w:rsid w:val="00CB2D6B"/>
    <w:rsid w:val="00CB3984"/>
    <w:rsid w:val="00CB3C37"/>
    <w:rsid w:val="00CB4DC8"/>
    <w:rsid w:val="00CB6866"/>
    <w:rsid w:val="00CB6EF5"/>
    <w:rsid w:val="00CB7560"/>
    <w:rsid w:val="00CB7DA0"/>
    <w:rsid w:val="00CB7E4D"/>
    <w:rsid w:val="00CC02DB"/>
    <w:rsid w:val="00CC04DA"/>
    <w:rsid w:val="00CC25C0"/>
    <w:rsid w:val="00CC2F75"/>
    <w:rsid w:val="00CC380C"/>
    <w:rsid w:val="00CC7B9E"/>
    <w:rsid w:val="00CD0978"/>
    <w:rsid w:val="00CD0EB1"/>
    <w:rsid w:val="00CD1DD1"/>
    <w:rsid w:val="00CD3B07"/>
    <w:rsid w:val="00CD4C85"/>
    <w:rsid w:val="00CD5E16"/>
    <w:rsid w:val="00CD7766"/>
    <w:rsid w:val="00CE041D"/>
    <w:rsid w:val="00CE26D6"/>
    <w:rsid w:val="00CE4768"/>
    <w:rsid w:val="00CE63F0"/>
    <w:rsid w:val="00CE6CFB"/>
    <w:rsid w:val="00CE6F0E"/>
    <w:rsid w:val="00CE7264"/>
    <w:rsid w:val="00CE7520"/>
    <w:rsid w:val="00CF1BF4"/>
    <w:rsid w:val="00CF24B0"/>
    <w:rsid w:val="00CF32ED"/>
    <w:rsid w:val="00CF34F0"/>
    <w:rsid w:val="00CF5EE9"/>
    <w:rsid w:val="00D022D0"/>
    <w:rsid w:val="00D028CE"/>
    <w:rsid w:val="00D030D2"/>
    <w:rsid w:val="00D048B4"/>
    <w:rsid w:val="00D06746"/>
    <w:rsid w:val="00D07493"/>
    <w:rsid w:val="00D105D9"/>
    <w:rsid w:val="00D10EAA"/>
    <w:rsid w:val="00D11108"/>
    <w:rsid w:val="00D11141"/>
    <w:rsid w:val="00D11779"/>
    <w:rsid w:val="00D12501"/>
    <w:rsid w:val="00D12C61"/>
    <w:rsid w:val="00D139E1"/>
    <w:rsid w:val="00D16894"/>
    <w:rsid w:val="00D23ADD"/>
    <w:rsid w:val="00D2638B"/>
    <w:rsid w:val="00D272E3"/>
    <w:rsid w:val="00D314D0"/>
    <w:rsid w:val="00D32CA6"/>
    <w:rsid w:val="00D35BA4"/>
    <w:rsid w:val="00D36D19"/>
    <w:rsid w:val="00D402F2"/>
    <w:rsid w:val="00D41574"/>
    <w:rsid w:val="00D42A1D"/>
    <w:rsid w:val="00D46632"/>
    <w:rsid w:val="00D46785"/>
    <w:rsid w:val="00D46BCD"/>
    <w:rsid w:val="00D47638"/>
    <w:rsid w:val="00D47FF2"/>
    <w:rsid w:val="00D55D82"/>
    <w:rsid w:val="00D56C60"/>
    <w:rsid w:val="00D6145A"/>
    <w:rsid w:val="00D620D0"/>
    <w:rsid w:val="00D64E6A"/>
    <w:rsid w:val="00D65195"/>
    <w:rsid w:val="00D655F0"/>
    <w:rsid w:val="00D71A7C"/>
    <w:rsid w:val="00D74BA1"/>
    <w:rsid w:val="00D765D0"/>
    <w:rsid w:val="00D76B54"/>
    <w:rsid w:val="00D779E4"/>
    <w:rsid w:val="00D8075F"/>
    <w:rsid w:val="00D8507B"/>
    <w:rsid w:val="00D85A15"/>
    <w:rsid w:val="00D86001"/>
    <w:rsid w:val="00D86795"/>
    <w:rsid w:val="00D86847"/>
    <w:rsid w:val="00D90A15"/>
    <w:rsid w:val="00D923B8"/>
    <w:rsid w:val="00D9402D"/>
    <w:rsid w:val="00D9411A"/>
    <w:rsid w:val="00D94FFE"/>
    <w:rsid w:val="00D97BCE"/>
    <w:rsid w:val="00DA05FB"/>
    <w:rsid w:val="00DA0D7C"/>
    <w:rsid w:val="00DA10D9"/>
    <w:rsid w:val="00DA3AFC"/>
    <w:rsid w:val="00DA4FEE"/>
    <w:rsid w:val="00DA5F20"/>
    <w:rsid w:val="00DB1082"/>
    <w:rsid w:val="00DB4FCD"/>
    <w:rsid w:val="00DB67E1"/>
    <w:rsid w:val="00DB6BBF"/>
    <w:rsid w:val="00DC0631"/>
    <w:rsid w:val="00DC2019"/>
    <w:rsid w:val="00DC336E"/>
    <w:rsid w:val="00DC4EA8"/>
    <w:rsid w:val="00DC4F23"/>
    <w:rsid w:val="00DD11CA"/>
    <w:rsid w:val="00DD16A6"/>
    <w:rsid w:val="00DD2007"/>
    <w:rsid w:val="00DD28FF"/>
    <w:rsid w:val="00DD2D11"/>
    <w:rsid w:val="00DD2DBB"/>
    <w:rsid w:val="00DD39C1"/>
    <w:rsid w:val="00DD4072"/>
    <w:rsid w:val="00DD4CFA"/>
    <w:rsid w:val="00DD4F77"/>
    <w:rsid w:val="00DD6599"/>
    <w:rsid w:val="00DE3641"/>
    <w:rsid w:val="00DE465C"/>
    <w:rsid w:val="00DE4FDB"/>
    <w:rsid w:val="00DE6D3F"/>
    <w:rsid w:val="00DE7A1D"/>
    <w:rsid w:val="00DF0DD1"/>
    <w:rsid w:val="00DF2A65"/>
    <w:rsid w:val="00DF2B5A"/>
    <w:rsid w:val="00DF6B9E"/>
    <w:rsid w:val="00DF7CDE"/>
    <w:rsid w:val="00E013CF"/>
    <w:rsid w:val="00E02FF4"/>
    <w:rsid w:val="00E04B25"/>
    <w:rsid w:val="00E05FDB"/>
    <w:rsid w:val="00E07E4F"/>
    <w:rsid w:val="00E10973"/>
    <w:rsid w:val="00E12DBE"/>
    <w:rsid w:val="00E12ECE"/>
    <w:rsid w:val="00E1300F"/>
    <w:rsid w:val="00E15322"/>
    <w:rsid w:val="00E164D2"/>
    <w:rsid w:val="00E176B7"/>
    <w:rsid w:val="00E263EE"/>
    <w:rsid w:val="00E26BBB"/>
    <w:rsid w:val="00E33374"/>
    <w:rsid w:val="00E44BE8"/>
    <w:rsid w:val="00E47249"/>
    <w:rsid w:val="00E50682"/>
    <w:rsid w:val="00E547E7"/>
    <w:rsid w:val="00E61945"/>
    <w:rsid w:val="00E629BB"/>
    <w:rsid w:val="00E63BE5"/>
    <w:rsid w:val="00E653F6"/>
    <w:rsid w:val="00E656AC"/>
    <w:rsid w:val="00E65E69"/>
    <w:rsid w:val="00E67CAF"/>
    <w:rsid w:val="00E67E06"/>
    <w:rsid w:val="00E724A4"/>
    <w:rsid w:val="00E732AF"/>
    <w:rsid w:val="00E73F37"/>
    <w:rsid w:val="00E75DF7"/>
    <w:rsid w:val="00E7768D"/>
    <w:rsid w:val="00E77D8B"/>
    <w:rsid w:val="00E8234A"/>
    <w:rsid w:val="00E82470"/>
    <w:rsid w:val="00E82F6B"/>
    <w:rsid w:val="00E841D5"/>
    <w:rsid w:val="00E84291"/>
    <w:rsid w:val="00E86498"/>
    <w:rsid w:val="00E90D3D"/>
    <w:rsid w:val="00E90E8F"/>
    <w:rsid w:val="00E91588"/>
    <w:rsid w:val="00E91A2E"/>
    <w:rsid w:val="00E91F5B"/>
    <w:rsid w:val="00E96680"/>
    <w:rsid w:val="00EA0D92"/>
    <w:rsid w:val="00EA1DF8"/>
    <w:rsid w:val="00EA2398"/>
    <w:rsid w:val="00EA3690"/>
    <w:rsid w:val="00EA4C9B"/>
    <w:rsid w:val="00EA5C19"/>
    <w:rsid w:val="00EA60F3"/>
    <w:rsid w:val="00EA7A5A"/>
    <w:rsid w:val="00EB0CEE"/>
    <w:rsid w:val="00EB1E7E"/>
    <w:rsid w:val="00EB1F05"/>
    <w:rsid w:val="00EB3129"/>
    <w:rsid w:val="00EB4713"/>
    <w:rsid w:val="00EC1787"/>
    <w:rsid w:val="00EC2012"/>
    <w:rsid w:val="00EC3BEC"/>
    <w:rsid w:val="00EC412E"/>
    <w:rsid w:val="00EC4351"/>
    <w:rsid w:val="00EC4514"/>
    <w:rsid w:val="00EC5D68"/>
    <w:rsid w:val="00ED205F"/>
    <w:rsid w:val="00ED2645"/>
    <w:rsid w:val="00ED2CA4"/>
    <w:rsid w:val="00ED4AEC"/>
    <w:rsid w:val="00ED7ED6"/>
    <w:rsid w:val="00EE0C65"/>
    <w:rsid w:val="00EE0F64"/>
    <w:rsid w:val="00EE352B"/>
    <w:rsid w:val="00EE4724"/>
    <w:rsid w:val="00EE62BB"/>
    <w:rsid w:val="00EE74A6"/>
    <w:rsid w:val="00EF23FC"/>
    <w:rsid w:val="00EF5DEF"/>
    <w:rsid w:val="00F0180B"/>
    <w:rsid w:val="00F02856"/>
    <w:rsid w:val="00F0349A"/>
    <w:rsid w:val="00F040B7"/>
    <w:rsid w:val="00F04E69"/>
    <w:rsid w:val="00F0703B"/>
    <w:rsid w:val="00F115A5"/>
    <w:rsid w:val="00F129C1"/>
    <w:rsid w:val="00F12AD6"/>
    <w:rsid w:val="00F141BC"/>
    <w:rsid w:val="00F14583"/>
    <w:rsid w:val="00F15CB2"/>
    <w:rsid w:val="00F20476"/>
    <w:rsid w:val="00F2376F"/>
    <w:rsid w:val="00F271FB"/>
    <w:rsid w:val="00F31073"/>
    <w:rsid w:val="00F311EB"/>
    <w:rsid w:val="00F324E4"/>
    <w:rsid w:val="00F32933"/>
    <w:rsid w:val="00F33152"/>
    <w:rsid w:val="00F33582"/>
    <w:rsid w:val="00F340BB"/>
    <w:rsid w:val="00F36BF0"/>
    <w:rsid w:val="00F40019"/>
    <w:rsid w:val="00F4058D"/>
    <w:rsid w:val="00F429E6"/>
    <w:rsid w:val="00F43153"/>
    <w:rsid w:val="00F435BD"/>
    <w:rsid w:val="00F4498A"/>
    <w:rsid w:val="00F451F3"/>
    <w:rsid w:val="00F45E2D"/>
    <w:rsid w:val="00F4746A"/>
    <w:rsid w:val="00F51F55"/>
    <w:rsid w:val="00F551B6"/>
    <w:rsid w:val="00F55408"/>
    <w:rsid w:val="00F55BC6"/>
    <w:rsid w:val="00F6096A"/>
    <w:rsid w:val="00F60B1A"/>
    <w:rsid w:val="00F6206B"/>
    <w:rsid w:val="00F66FF2"/>
    <w:rsid w:val="00F67E05"/>
    <w:rsid w:val="00F74ED5"/>
    <w:rsid w:val="00F764FD"/>
    <w:rsid w:val="00F82711"/>
    <w:rsid w:val="00F83979"/>
    <w:rsid w:val="00F86062"/>
    <w:rsid w:val="00F8629F"/>
    <w:rsid w:val="00F91861"/>
    <w:rsid w:val="00F94CC5"/>
    <w:rsid w:val="00F954CE"/>
    <w:rsid w:val="00F964AA"/>
    <w:rsid w:val="00FA08DF"/>
    <w:rsid w:val="00FA1DC4"/>
    <w:rsid w:val="00FA3EB7"/>
    <w:rsid w:val="00FA4104"/>
    <w:rsid w:val="00FA5FD5"/>
    <w:rsid w:val="00FA6480"/>
    <w:rsid w:val="00FA6FD3"/>
    <w:rsid w:val="00FB0C08"/>
    <w:rsid w:val="00FB1054"/>
    <w:rsid w:val="00FB2668"/>
    <w:rsid w:val="00FB498B"/>
    <w:rsid w:val="00FC2912"/>
    <w:rsid w:val="00FC29A7"/>
    <w:rsid w:val="00FD13E6"/>
    <w:rsid w:val="00FD1A5D"/>
    <w:rsid w:val="00FD471A"/>
    <w:rsid w:val="00FD4CC6"/>
    <w:rsid w:val="00FD5977"/>
    <w:rsid w:val="00FD5A9C"/>
    <w:rsid w:val="00FD657B"/>
    <w:rsid w:val="00FE422A"/>
    <w:rsid w:val="00FE43B9"/>
    <w:rsid w:val="00FE5BCC"/>
    <w:rsid w:val="00FE5C5E"/>
    <w:rsid w:val="00FE7B0A"/>
    <w:rsid w:val="00FF01AE"/>
    <w:rsid w:val="00FF3410"/>
    <w:rsid w:val="00FF5BE5"/>
    <w:rsid w:val="00FF76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0EF0EB-D89E-4B47-9A31-38813C755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560A"/>
    <w:rPr>
      <w:rFonts w:ascii="Times New Roman" w:eastAsia="Times New Roman" w:hAnsi="Times New Roman"/>
      <w:sz w:val="24"/>
      <w:szCs w:val="24"/>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Абзац списка"/>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і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і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інцевої ви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ви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и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uk-UA" w:eastAsia="uk-UA"/>
    </w:rPr>
  </w:style>
  <w:style w:type="paragraph" w:styleId="af3">
    <w:name w:val="No Spacing"/>
    <w:qFormat/>
    <w:rsid w:val="00556D9D"/>
    <w:rPr>
      <w:rFonts w:ascii="Times New Roman" w:eastAsia="Times New Roman" w:hAnsi="Times New Roman"/>
      <w:sz w:val="24"/>
      <w:szCs w:val="24"/>
      <w:lang w:val="ru-RU" w:eastAsia="ru-RU"/>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у виносці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ітки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ітки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 w:type="character" w:customStyle="1" w:styleId="Heading1">
    <w:name w:val="Heading #1_"/>
    <w:link w:val="Heading10"/>
    <w:locked/>
    <w:rsid w:val="00173655"/>
    <w:rPr>
      <w:rFonts w:ascii="Times New Roman" w:eastAsia="Times New Roman" w:hAnsi="Times New Roman"/>
      <w:b/>
      <w:bCs/>
      <w:shd w:val="clear" w:color="auto" w:fill="FFFFFF"/>
    </w:rPr>
  </w:style>
  <w:style w:type="paragraph" w:customStyle="1" w:styleId="Heading10">
    <w:name w:val="Heading #1"/>
    <w:basedOn w:val="a"/>
    <w:link w:val="Heading1"/>
    <w:rsid w:val="00173655"/>
    <w:pPr>
      <w:widowControl w:val="0"/>
      <w:shd w:val="clear" w:color="auto" w:fill="FFFFFF"/>
      <w:spacing w:before="900" w:line="0" w:lineRule="atLeast"/>
      <w:ind w:hanging="460"/>
      <w:outlineLvl w:val="0"/>
    </w:pPr>
    <w:rPr>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609237217">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532347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47B04-498C-4F69-BD5B-05219BF0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52835</Words>
  <Characters>30117</Characters>
  <Application>Microsoft Office Word</Application>
  <DocSecurity>0</DocSecurity>
  <Lines>250</Lines>
  <Paragraphs>165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SPecialiST RePack</Company>
  <LinksUpToDate>false</LinksUpToDate>
  <CharactersWithSpaces>82787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Журавель Олена Миколаївна</cp:lastModifiedBy>
  <cp:revision>2</cp:revision>
  <cp:lastPrinted>2021-12-24T08:24:00Z</cp:lastPrinted>
  <dcterms:created xsi:type="dcterms:W3CDTF">2021-12-24T12:38:00Z</dcterms:created>
  <dcterms:modified xsi:type="dcterms:W3CDTF">2021-12-24T12:38:00Z</dcterms:modified>
</cp:coreProperties>
</file>